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0E7D" w14:textId="509B3F07" w:rsidR="009A18F2" w:rsidRPr="004D0B79" w:rsidRDefault="004D32CE" w:rsidP="009A18F2">
      <w:pPr>
        <w:spacing w:after="0" w:line="240" w:lineRule="auto"/>
        <w:jc w:val="center"/>
        <w:rPr>
          <w:rFonts w:cs="Times New Roman"/>
          <w:b/>
          <w:sz w:val="20"/>
          <w:szCs w:val="20"/>
        </w:rPr>
      </w:pPr>
      <w:r w:rsidRPr="004D0B79">
        <w:rPr>
          <w:rFonts w:cs="Times New Roman"/>
          <w:b/>
          <w:sz w:val="20"/>
          <w:szCs w:val="20"/>
        </w:rPr>
        <w:t xml:space="preserve">Informatikos krypties </w:t>
      </w:r>
      <w:r w:rsidR="000E74A7">
        <w:rPr>
          <w:rFonts w:cs="Times New Roman"/>
          <w:b/>
          <w:sz w:val="20"/>
          <w:szCs w:val="20"/>
        </w:rPr>
        <w:t>studijų programų</w:t>
      </w:r>
      <w:r w:rsidRPr="004D0B79">
        <w:rPr>
          <w:rFonts w:cs="Times New Roman"/>
          <w:b/>
          <w:sz w:val="20"/>
          <w:szCs w:val="20"/>
        </w:rPr>
        <w:t xml:space="preserve"> tobulinimo priemonių̨ planas</w:t>
      </w:r>
      <w:r w:rsidR="009A18F2" w:rsidRPr="004D0B79">
        <w:rPr>
          <w:rFonts w:cs="Times New Roman"/>
          <w:b/>
          <w:sz w:val="20"/>
          <w:szCs w:val="20"/>
        </w:rPr>
        <w:t xml:space="preserve"> </w:t>
      </w:r>
    </w:p>
    <w:p w14:paraId="4329B298" w14:textId="77777777" w:rsidR="009A18F2" w:rsidRPr="004D0B79" w:rsidRDefault="009A18F2" w:rsidP="009A18F2">
      <w:pPr>
        <w:spacing w:after="0" w:line="240" w:lineRule="auto"/>
        <w:jc w:val="center"/>
        <w:rPr>
          <w:rFonts w:cs="Times New Roman"/>
          <w:b/>
          <w:sz w:val="20"/>
          <w:szCs w:val="20"/>
        </w:rPr>
      </w:pPr>
    </w:p>
    <w:p w14:paraId="31B53B40" w14:textId="38967E36" w:rsidR="009A18F2" w:rsidRPr="004D0B79" w:rsidRDefault="004D32CE" w:rsidP="009A18F2">
      <w:pPr>
        <w:spacing w:after="0" w:line="240" w:lineRule="auto"/>
        <w:jc w:val="center"/>
        <w:rPr>
          <w:rFonts w:cs="Times New Roman"/>
          <w:b/>
          <w:sz w:val="20"/>
          <w:szCs w:val="20"/>
        </w:rPr>
      </w:pPr>
      <w:r w:rsidRPr="004D0B79">
        <w:rPr>
          <w:rFonts w:cs="Times New Roman"/>
          <w:b/>
          <w:sz w:val="20"/>
          <w:szCs w:val="20"/>
        </w:rPr>
        <w:t>2025-03-27</w:t>
      </w:r>
    </w:p>
    <w:p w14:paraId="10AECB69" w14:textId="77777777" w:rsidR="009A18F2" w:rsidRPr="004D0B79" w:rsidRDefault="009A18F2" w:rsidP="009A18F2">
      <w:pPr>
        <w:spacing w:after="0" w:line="240" w:lineRule="auto"/>
        <w:jc w:val="center"/>
        <w:rPr>
          <w:rFonts w:cs="Times New Roman"/>
          <w:sz w:val="20"/>
          <w:szCs w:val="20"/>
        </w:rPr>
      </w:pPr>
    </w:p>
    <w:tbl>
      <w:tblPr>
        <w:tblStyle w:val="TableGrid"/>
        <w:tblW w:w="13669" w:type="dxa"/>
        <w:tblLayout w:type="fixed"/>
        <w:tblLook w:val="04A0" w:firstRow="1" w:lastRow="0" w:firstColumn="1" w:lastColumn="0" w:noHBand="0" w:noVBand="1"/>
      </w:tblPr>
      <w:tblGrid>
        <w:gridCol w:w="805"/>
        <w:gridCol w:w="3726"/>
        <w:gridCol w:w="5245"/>
        <w:gridCol w:w="1559"/>
        <w:gridCol w:w="1350"/>
        <w:gridCol w:w="984"/>
      </w:tblGrid>
      <w:tr w:rsidR="00A061F7" w:rsidRPr="004D0B79" w14:paraId="7EC275B3" w14:textId="77777777" w:rsidTr="000E74A7">
        <w:tc>
          <w:tcPr>
            <w:tcW w:w="805" w:type="dxa"/>
          </w:tcPr>
          <w:p w14:paraId="1CBE47B9" w14:textId="77777777" w:rsidR="00A061F7" w:rsidRPr="004D0B79" w:rsidRDefault="00A061F7" w:rsidP="006509E4">
            <w:pPr>
              <w:jc w:val="center"/>
              <w:rPr>
                <w:rFonts w:cs="Times New Roman"/>
                <w:b/>
                <w:bCs/>
                <w:sz w:val="20"/>
                <w:szCs w:val="20"/>
              </w:rPr>
            </w:pPr>
            <w:r w:rsidRPr="004D0B79">
              <w:rPr>
                <w:rFonts w:cs="Times New Roman"/>
                <w:b/>
                <w:bCs/>
                <w:sz w:val="20"/>
                <w:szCs w:val="20"/>
              </w:rPr>
              <w:t>Vertinamoji sritis</w:t>
            </w:r>
          </w:p>
        </w:tc>
        <w:tc>
          <w:tcPr>
            <w:tcW w:w="3726" w:type="dxa"/>
          </w:tcPr>
          <w:p w14:paraId="4AD2501C" w14:textId="77777777" w:rsidR="00A061F7" w:rsidRPr="004D0B79" w:rsidRDefault="00A061F7" w:rsidP="006509E4">
            <w:pPr>
              <w:jc w:val="center"/>
              <w:rPr>
                <w:rFonts w:cs="Times New Roman"/>
                <w:b/>
                <w:bCs/>
                <w:sz w:val="20"/>
                <w:szCs w:val="20"/>
              </w:rPr>
            </w:pPr>
            <w:r w:rsidRPr="004D0B79">
              <w:rPr>
                <w:rFonts w:cs="Times New Roman"/>
                <w:b/>
                <w:bCs/>
                <w:sz w:val="20"/>
                <w:szCs w:val="20"/>
              </w:rPr>
              <w:t>Ekspertų rekomendacijos, pateiktos paskutinio vertinimo metu</w:t>
            </w:r>
          </w:p>
        </w:tc>
        <w:tc>
          <w:tcPr>
            <w:tcW w:w="5245" w:type="dxa"/>
          </w:tcPr>
          <w:p w14:paraId="01581C17" w14:textId="14021158" w:rsidR="00A061F7" w:rsidRPr="004D0B79" w:rsidRDefault="00A061F7" w:rsidP="00A061F7">
            <w:pPr>
              <w:jc w:val="center"/>
              <w:rPr>
                <w:rFonts w:cs="Times New Roman"/>
                <w:b/>
                <w:bCs/>
                <w:sz w:val="20"/>
                <w:szCs w:val="20"/>
              </w:rPr>
            </w:pPr>
            <w:r w:rsidRPr="004D0B79">
              <w:rPr>
                <w:rFonts w:cs="Times New Roman"/>
                <w:b/>
                <w:bCs/>
                <w:sz w:val="20"/>
                <w:szCs w:val="20"/>
              </w:rPr>
              <w:t xml:space="preserve">Planuojami veiksmai </w:t>
            </w:r>
          </w:p>
        </w:tc>
        <w:tc>
          <w:tcPr>
            <w:tcW w:w="1559" w:type="dxa"/>
          </w:tcPr>
          <w:p w14:paraId="2C3A50A2" w14:textId="319019F1" w:rsidR="00A061F7" w:rsidRPr="004D0B79" w:rsidRDefault="00A061F7" w:rsidP="005B3E4E">
            <w:pPr>
              <w:jc w:val="center"/>
              <w:rPr>
                <w:rFonts w:cs="Times New Roman"/>
                <w:b/>
                <w:bCs/>
                <w:sz w:val="20"/>
                <w:szCs w:val="20"/>
              </w:rPr>
            </w:pPr>
            <w:r w:rsidRPr="004D0B79">
              <w:rPr>
                <w:rFonts w:cs="Times New Roman"/>
                <w:b/>
                <w:bCs/>
                <w:sz w:val="20"/>
                <w:szCs w:val="20"/>
              </w:rPr>
              <w:t>Įgyvendinimo terminai</w:t>
            </w:r>
          </w:p>
        </w:tc>
        <w:tc>
          <w:tcPr>
            <w:tcW w:w="1350" w:type="dxa"/>
          </w:tcPr>
          <w:p w14:paraId="54342C1F" w14:textId="77777777" w:rsidR="00A061F7" w:rsidRPr="004D0B79" w:rsidRDefault="00A061F7" w:rsidP="005B3E4E">
            <w:pPr>
              <w:jc w:val="center"/>
              <w:rPr>
                <w:rFonts w:cs="Times New Roman"/>
                <w:b/>
                <w:bCs/>
                <w:sz w:val="20"/>
                <w:szCs w:val="20"/>
              </w:rPr>
            </w:pPr>
            <w:r w:rsidRPr="004D0B79">
              <w:rPr>
                <w:rFonts w:cs="Times New Roman"/>
                <w:b/>
                <w:bCs/>
                <w:sz w:val="20"/>
                <w:szCs w:val="20"/>
              </w:rPr>
              <w:t>Atsakingi asmenys/padaliniai</w:t>
            </w:r>
          </w:p>
        </w:tc>
        <w:tc>
          <w:tcPr>
            <w:tcW w:w="984" w:type="dxa"/>
          </w:tcPr>
          <w:p w14:paraId="708D7B5C" w14:textId="77777777" w:rsidR="00A061F7" w:rsidRPr="004D0B79" w:rsidRDefault="00A061F7" w:rsidP="006509E4">
            <w:pPr>
              <w:jc w:val="center"/>
              <w:rPr>
                <w:rFonts w:cs="Times New Roman"/>
                <w:b/>
                <w:bCs/>
                <w:sz w:val="20"/>
                <w:szCs w:val="20"/>
              </w:rPr>
            </w:pPr>
            <w:r w:rsidRPr="004D0B79">
              <w:rPr>
                <w:rFonts w:cs="Times New Roman"/>
                <w:b/>
                <w:bCs/>
                <w:sz w:val="20"/>
                <w:szCs w:val="20"/>
              </w:rPr>
              <w:t>Pastabos</w:t>
            </w:r>
          </w:p>
        </w:tc>
      </w:tr>
      <w:tr w:rsidR="00A061F7" w:rsidRPr="004D0B79" w14:paraId="7C6059F6" w14:textId="77777777" w:rsidTr="000E74A7">
        <w:tc>
          <w:tcPr>
            <w:tcW w:w="805" w:type="dxa"/>
          </w:tcPr>
          <w:p w14:paraId="5968DFB9" w14:textId="695BB958" w:rsidR="00A061F7" w:rsidRPr="004D0B79" w:rsidRDefault="00A061F7" w:rsidP="006509E4">
            <w:pPr>
              <w:jc w:val="center"/>
              <w:rPr>
                <w:rFonts w:cs="Times New Roman"/>
                <w:sz w:val="20"/>
                <w:szCs w:val="20"/>
              </w:rPr>
            </w:pPr>
            <w:r w:rsidRPr="004D0B79">
              <w:rPr>
                <w:rFonts w:cs="Times New Roman"/>
                <w:sz w:val="20"/>
                <w:szCs w:val="20"/>
              </w:rPr>
              <w:t>1.</w:t>
            </w:r>
          </w:p>
        </w:tc>
        <w:tc>
          <w:tcPr>
            <w:tcW w:w="3726" w:type="dxa"/>
          </w:tcPr>
          <w:p w14:paraId="275B9CA4" w14:textId="3482D447" w:rsidR="00A061F7" w:rsidRPr="004D0B79" w:rsidRDefault="00A061F7" w:rsidP="009A18F2">
            <w:pPr>
              <w:rPr>
                <w:rFonts w:cs="Times New Roman"/>
                <w:b/>
                <w:sz w:val="20"/>
                <w:szCs w:val="20"/>
              </w:rPr>
            </w:pPr>
            <w:r w:rsidRPr="004D0B79">
              <w:rPr>
                <w:rFonts w:cs="Times New Roman"/>
                <w:b/>
                <w:sz w:val="20"/>
                <w:szCs w:val="20"/>
              </w:rPr>
              <w:t>Studijų tikslai, rezultatai ir turinys</w:t>
            </w:r>
          </w:p>
        </w:tc>
        <w:tc>
          <w:tcPr>
            <w:tcW w:w="5245" w:type="dxa"/>
          </w:tcPr>
          <w:p w14:paraId="009510A8" w14:textId="77777777" w:rsidR="00A061F7" w:rsidRPr="004D0B79" w:rsidRDefault="00A061F7" w:rsidP="006509E4">
            <w:pPr>
              <w:jc w:val="center"/>
              <w:rPr>
                <w:rFonts w:cs="Times New Roman"/>
                <w:sz w:val="20"/>
                <w:szCs w:val="20"/>
              </w:rPr>
            </w:pPr>
          </w:p>
        </w:tc>
        <w:tc>
          <w:tcPr>
            <w:tcW w:w="1559" w:type="dxa"/>
          </w:tcPr>
          <w:p w14:paraId="71AC9EAC" w14:textId="31484B1C" w:rsidR="00A061F7" w:rsidRPr="004D0B79" w:rsidRDefault="00A061F7" w:rsidP="005B3E4E">
            <w:pPr>
              <w:rPr>
                <w:rFonts w:cs="Times New Roman"/>
                <w:sz w:val="20"/>
                <w:szCs w:val="20"/>
              </w:rPr>
            </w:pPr>
          </w:p>
        </w:tc>
        <w:tc>
          <w:tcPr>
            <w:tcW w:w="1350" w:type="dxa"/>
          </w:tcPr>
          <w:p w14:paraId="06501BAF" w14:textId="77777777" w:rsidR="00A061F7" w:rsidRPr="004D0B79" w:rsidRDefault="00A061F7" w:rsidP="005B3E4E">
            <w:pPr>
              <w:rPr>
                <w:rFonts w:cs="Times New Roman"/>
                <w:sz w:val="20"/>
                <w:szCs w:val="20"/>
              </w:rPr>
            </w:pPr>
          </w:p>
        </w:tc>
        <w:tc>
          <w:tcPr>
            <w:tcW w:w="984" w:type="dxa"/>
          </w:tcPr>
          <w:p w14:paraId="4A42B681" w14:textId="77777777" w:rsidR="00A061F7" w:rsidRPr="004D0B79" w:rsidRDefault="00A061F7" w:rsidP="006509E4">
            <w:pPr>
              <w:jc w:val="center"/>
              <w:rPr>
                <w:rFonts w:cs="Times New Roman"/>
                <w:sz w:val="20"/>
                <w:szCs w:val="20"/>
              </w:rPr>
            </w:pPr>
          </w:p>
        </w:tc>
      </w:tr>
      <w:tr w:rsidR="00A061F7" w:rsidRPr="004D0B79" w14:paraId="0C205D71" w14:textId="77777777" w:rsidTr="000E74A7">
        <w:tc>
          <w:tcPr>
            <w:tcW w:w="805" w:type="dxa"/>
          </w:tcPr>
          <w:p w14:paraId="052A48D8" w14:textId="041348D3" w:rsidR="00A061F7" w:rsidRPr="004D0B79" w:rsidRDefault="00A061F7" w:rsidP="006509E4">
            <w:pPr>
              <w:jc w:val="center"/>
              <w:rPr>
                <w:rFonts w:cs="Times New Roman"/>
                <w:sz w:val="20"/>
                <w:szCs w:val="20"/>
              </w:rPr>
            </w:pPr>
            <w:r w:rsidRPr="004D0B79">
              <w:rPr>
                <w:rFonts w:cs="Times New Roman"/>
                <w:sz w:val="20"/>
                <w:szCs w:val="20"/>
              </w:rPr>
              <w:t>1.1.</w:t>
            </w:r>
          </w:p>
        </w:tc>
        <w:tc>
          <w:tcPr>
            <w:tcW w:w="3726" w:type="dxa"/>
          </w:tcPr>
          <w:p w14:paraId="423940D7" w14:textId="0DDA038D" w:rsidR="00A061F7" w:rsidRPr="004D0B79" w:rsidRDefault="00A061F7" w:rsidP="009A18F2">
            <w:pPr>
              <w:rPr>
                <w:rFonts w:cs="Times New Roman"/>
                <w:sz w:val="20"/>
                <w:szCs w:val="20"/>
              </w:rPr>
            </w:pPr>
            <w:r w:rsidRPr="004D0B79">
              <w:rPr>
                <w:rFonts w:cs="Times New Roman"/>
                <w:sz w:val="20"/>
                <w:szCs w:val="20"/>
              </w:rPr>
              <w:t>Kai kuriems dalykams skiriamas ECTS kreditų skaičius neatitinka realaus studentams reikalingo darbo krūvio, ypač dalykuose, kuriuose yra reikšminga praktinė dalis. Tai lemia tam tikrą darbo krūvio disbalansą tarp semestrų, nepaisant to, kad kiekviename semestre yra vienodas kreditų skaičius. Kruopšti kreditų ir realaus kai kurių dalykų darbo krūvio (kuris taip pat gali priklausyti nuo mokymo metodų) analizė ir apmąstymas padėtų pasiekti tolygesnį studentų darbo krūvio paskirstymą.</w:t>
            </w:r>
          </w:p>
        </w:tc>
        <w:tc>
          <w:tcPr>
            <w:tcW w:w="5245" w:type="dxa"/>
          </w:tcPr>
          <w:p w14:paraId="3BE96452" w14:textId="70CE9F81" w:rsidR="00A061F7" w:rsidRPr="004D0B79" w:rsidRDefault="00A061F7" w:rsidP="00083AF1">
            <w:pPr>
              <w:rPr>
                <w:rFonts w:cs="Times New Roman"/>
                <w:sz w:val="20"/>
                <w:szCs w:val="20"/>
              </w:rPr>
            </w:pPr>
            <w:r w:rsidRPr="00A061F7">
              <w:rPr>
                <w:rFonts w:cs="Times New Roman"/>
                <w:sz w:val="20"/>
                <w:szCs w:val="20"/>
              </w:rPr>
              <w:t xml:space="preserve">Ištirti studentų nuomonę dėl studijuojamų dalykų darbo krūvio tolygumo. Remiantis </w:t>
            </w:r>
            <w:r>
              <w:rPr>
                <w:rFonts w:cs="Times New Roman"/>
                <w:sz w:val="20"/>
                <w:szCs w:val="20"/>
              </w:rPr>
              <w:t>tyrimo</w:t>
            </w:r>
            <w:r w:rsidRPr="00A061F7">
              <w:rPr>
                <w:rFonts w:cs="Times New Roman"/>
                <w:sz w:val="20"/>
                <w:szCs w:val="20"/>
              </w:rPr>
              <w:t xml:space="preserve"> rezultatais p</w:t>
            </w:r>
            <w:r w:rsidRPr="004D0B79">
              <w:rPr>
                <w:rFonts w:cs="Times New Roman"/>
                <w:sz w:val="20"/>
                <w:szCs w:val="20"/>
              </w:rPr>
              <w:t>eržiūrėti ir jeigu reikia pakoreguoti studijų dalykų, kuriuose numatyta didėlė dalis savarankiškam darbui, turinį ir studentų savarankiškų darbų apimtis.</w:t>
            </w:r>
          </w:p>
          <w:p w14:paraId="29793EB1" w14:textId="45591662" w:rsidR="00A061F7" w:rsidRPr="004D0B79" w:rsidRDefault="00A061F7" w:rsidP="00083AF1">
            <w:pPr>
              <w:rPr>
                <w:rFonts w:cs="Times New Roman"/>
                <w:sz w:val="20"/>
                <w:szCs w:val="20"/>
              </w:rPr>
            </w:pPr>
          </w:p>
        </w:tc>
        <w:tc>
          <w:tcPr>
            <w:tcW w:w="1559" w:type="dxa"/>
          </w:tcPr>
          <w:p w14:paraId="2B66C3D3" w14:textId="7B377407" w:rsidR="00A061F7" w:rsidRPr="004D0B79" w:rsidRDefault="00A061F7" w:rsidP="005B3E4E">
            <w:pPr>
              <w:rPr>
                <w:rFonts w:cs="Times New Roman"/>
                <w:sz w:val="20"/>
                <w:szCs w:val="20"/>
              </w:rPr>
            </w:pPr>
            <w:r w:rsidRPr="004D0B79">
              <w:rPr>
                <w:rFonts w:cs="Times New Roman"/>
                <w:sz w:val="20"/>
                <w:szCs w:val="20"/>
              </w:rPr>
              <w:t>2025-12</w:t>
            </w:r>
          </w:p>
        </w:tc>
        <w:tc>
          <w:tcPr>
            <w:tcW w:w="1350" w:type="dxa"/>
          </w:tcPr>
          <w:p w14:paraId="20733FFC" w14:textId="6D3B0636" w:rsidR="00A061F7" w:rsidRPr="004D0B79" w:rsidRDefault="00A061F7" w:rsidP="005B3E4E">
            <w:pPr>
              <w:rPr>
                <w:rFonts w:cs="Times New Roman"/>
                <w:sz w:val="20"/>
                <w:szCs w:val="20"/>
              </w:rPr>
            </w:pPr>
            <w:r w:rsidRPr="004D0B79">
              <w:rPr>
                <w:rFonts w:cs="Times New Roman"/>
                <w:sz w:val="20"/>
                <w:szCs w:val="20"/>
              </w:rPr>
              <w:t>SPK, katedra</w:t>
            </w:r>
          </w:p>
        </w:tc>
        <w:tc>
          <w:tcPr>
            <w:tcW w:w="984" w:type="dxa"/>
          </w:tcPr>
          <w:p w14:paraId="006A6138" w14:textId="77777777" w:rsidR="00A061F7" w:rsidRPr="004D0B79" w:rsidRDefault="00A061F7" w:rsidP="006509E4">
            <w:pPr>
              <w:jc w:val="center"/>
              <w:rPr>
                <w:rFonts w:cs="Times New Roman"/>
                <w:sz w:val="20"/>
                <w:szCs w:val="20"/>
              </w:rPr>
            </w:pPr>
          </w:p>
        </w:tc>
      </w:tr>
      <w:tr w:rsidR="00A061F7" w:rsidRPr="004D0B79" w14:paraId="3D8A2B0A" w14:textId="77777777" w:rsidTr="000E74A7">
        <w:tc>
          <w:tcPr>
            <w:tcW w:w="805" w:type="dxa"/>
          </w:tcPr>
          <w:p w14:paraId="292A98FC" w14:textId="5AD39CA0" w:rsidR="00A061F7" w:rsidRPr="004D0B79" w:rsidRDefault="00A061F7" w:rsidP="006509E4">
            <w:pPr>
              <w:jc w:val="center"/>
              <w:rPr>
                <w:rFonts w:cs="Times New Roman"/>
                <w:sz w:val="20"/>
                <w:szCs w:val="20"/>
              </w:rPr>
            </w:pPr>
            <w:r w:rsidRPr="004D0B79">
              <w:rPr>
                <w:rFonts w:cs="Times New Roman"/>
                <w:sz w:val="20"/>
                <w:szCs w:val="20"/>
              </w:rPr>
              <w:t>2.</w:t>
            </w:r>
          </w:p>
        </w:tc>
        <w:tc>
          <w:tcPr>
            <w:tcW w:w="3726" w:type="dxa"/>
          </w:tcPr>
          <w:p w14:paraId="623BBAB6" w14:textId="0E953B95" w:rsidR="00A061F7" w:rsidRPr="004D0B79" w:rsidRDefault="00A061F7" w:rsidP="009A18F2">
            <w:pPr>
              <w:rPr>
                <w:rFonts w:cs="Times New Roman"/>
                <w:b/>
                <w:sz w:val="20"/>
                <w:szCs w:val="20"/>
              </w:rPr>
            </w:pPr>
            <w:r w:rsidRPr="004D0B79">
              <w:rPr>
                <w:rFonts w:cs="Times New Roman"/>
                <w:b/>
                <w:sz w:val="20"/>
                <w:szCs w:val="20"/>
              </w:rPr>
              <w:t>Mokslo ir studijų veiklos sąsajos</w:t>
            </w:r>
          </w:p>
        </w:tc>
        <w:tc>
          <w:tcPr>
            <w:tcW w:w="5245" w:type="dxa"/>
          </w:tcPr>
          <w:p w14:paraId="2876B6AE" w14:textId="77777777" w:rsidR="00A061F7" w:rsidRPr="004D0B79" w:rsidRDefault="00A061F7" w:rsidP="006509E4">
            <w:pPr>
              <w:jc w:val="center"/>
              <w:rPr>
                <w:rFonts w:cs="Times New Roman"/>
                <w:sz w:val="20"/>
                <w:szCs w:val="20"/>
              </w:rPr>
            </w:pPr>
          </w:p>
        </w:tc>
        <w:tc>
          <w:tcPr>
            <w:tcW w:w="1559" w:type="dxa"/>
          </w:tcPr>
          <w:p w14:paraId="6D4AED87" w14:textId="4045609E" w:rsidR="00A061F7" w:rsidRPr="004D0B79" w:rsidRDefault="00A061F7" w:rsidP="005B3E4E">
            <w:pPr>
              <w:rPr>
                <w:rFonts w:cs="Times New Roman"/>
                <w:sz w:val="20"/>
                <w:szCs w:val="20"/>
              </w:rPr>
            </w:pPr>
          </w:p>
        </w:tc>
        <w:tc>
          <w:tcPr>
            <w:tcW w:w="1350" w:type="dxa"/>
          </w:tcPr>
          <w:p w14:paraId="6E873659" w14:textId="77777777" w:rsidR="00A061F7" w:rsidRPr="004D0B79" w:rsidRDefault="00A061F7" w:rsidP="005B3E4E">
            <w:pPr>
              <w:rPr>
                <w:rFonts w:cs="Times New Roman"/>
                <w:sz w:val="20"/>
                <w:szCs w:val="20"/>
              </w:rPr>
            </w:pPr>
          </w:p>
        </w:tc>
        <w:tc>
          <w:tcPr>
            <w:tcW w:w="984" w:type="dxa"/>
          </w:tcPr>
          <w:p w14:paraId="543CDA29" w14:textId="77777777" w:rsidR="00A061F7" w:rsidRPr="004D0B79" w:rsidRDefault="00A061F7" w:rsidP="006509E4">
            <w:pPr>
              <w:jc w:val="center"/>
              <w:rPr>
                <w:rFonts w:cs="Times New Roman"/>
                <w:sz w:val="20"/>
                <w:szCs w:val="20"/>
              </w:rPr>
            </w:pPr>
          </w:p>
        </w:tc>
      </w:tr>
      <w:tr w:rsidR="00A061F7" w:rsidRPr="004D0B79" w14:paraId="7BCF513D" w14:textId="77777777" w:rsidTr="000E74A7">
        <w:trPr>
          <w:trHeight w:val="1334"/>
        </w:trPr>
        <w:tc>
          <w:tcPr>
            <w:tcW w:w="805" w:type="dxa"/>
            <w:vMerge w:val="restart"/>
          </w:tcPr>
          <w:p w14:paraId="50AD5F17" w14:textId="5EF0A47C" w:rsidR="00A061F7" w:rsidRPr="004D0B79" w:rsidRDefault="00A061F7" w:rsidP="006509E4">
            <w:pPr>
              <w:jc w:val="center"/>
              <w:rPr>
                <w:rFonts w:cs="Times New Roman"/>
                <w:sz w:val="20"/>
                <w:szCs w:val="20"/>
              </w:rPr>
            </w:pPr>
            <w:r w:rsidRPr="004D0B79">
              <w:rPr>
                <w:rFonts w:cs="Times New Roman"/>
                <w:sz w:val="20"/>
                <w:szCs w:val="20"/>
              </w:rPr>
              <w:t>2.1.</w:t>
            </w:r>
          </w:p>
        </w:tc>
        <w:tc>
          <w:tcPr>
            <w:tcW w:w="3726" w:type="dxa"/>
            <w:vMerge w:val="restart"/>
          </w:tcPr>
          <w:p w14:paraId="2625CCB0" w14:textId="31226CE0" w:rsidR="00A061F7" w:rsidRPr="004D0B79" w:rsidRDefault="00A061F7" w:rsidP="009A18F2">
            <w:pPr>
              <w:rPr>
                <w:rFonts w:cs="Times New Roman"/>
                <w:sz w:val="20"/>
                <w:szCs w:val="20"/>
              </w:rPr>
            </w:pPr>
            <w:r w:rsidRPr="004D0B79">
              <w:rPr>
                <w:rFonts w:cs="Times New Roman"/>
                <w:sz w:val="20"/>
                <w:szCs w:val="20"/>
              </w:rPr>
              <w:t xml:space="preserve">VGTU taiko keletą priemonių, leidžiančių siekti mokslinio darbo meistriškumo tarptautiniu lygiu (pvz., minimalūs dėstytojų kvalifikacijos reikalavimai, finansinės paskatos), o tai labai vertinama. Nepaisant to, daugelis dėstytojų ir dėstytojų publikacijų vis dar publikuojamos tarptautiniu lygiu nelaikytinose žurnaluose, pvz., MDPI ar VGTU leidžiamuose žurnaluose. Norint pasiekti tarptautiniu mastu pripažintos </w:t>
            </w:r>
            <w:r w:rsidRPr="004D0B79">
              <w:rPr>
                <w:rFonts w:cs="Times New Roman"/>
                <w:sz w:val="20"/>
                <w:szCs w:val="20"/>
              </w:rPr>
              <w:lastRenderedPageBreak/>
              <w:t>mokslo ir studijų institucijos tikslą ir pasiekti aukščiausią rezultatą sekančiame visų trijų vertinamų sričių tyrimų vertinime, rekomenduojama konkuruoti su tarptautine mokslo bendruomene ir publikuoti pripažintuose geriausiuose žurnaluose bei konferencijose. Dalyvavimas tarptautiniuose mokslinių tyrimų projektuose (pvz., ES projektuose) taip pat būtų naudingas siekiant šių tikslų.</w:t>
            </w:r>
          </w:p>
        </w:tc>
        <w:tc>
          <w:tcPr>
            <w:tcW w:w="5245" w:type="dxa"/>
          </w:tcPr>
          <w:p w14:paraId="41447983" w14:textId="69A4622B" w:rsidR="00A061F7" w:rsidRPr="004D0B79" w:rsidRDefault="00A061F7" w:rsidP="0067660C">
            <w:pPr>
              <w:rPr>
                <w:rFonts w:cs="Times New Roman"/>
                <w:strike/>
                <w:sz w:val="20"/>
                <w:szCs w:val="20"/>
              </w:rPr>
            </w:pPr>
            <w:r w:rsidRPr="004D0B79">
              <w:rPr>
                <w:rFonts w:cs="Times New Roman"/>
                <w:sz w:val="20"/>
                <w:szCs w:val="20"/>
              </w:rPr>
              <w:lastRenderedPageBreak/>
              <w:t>Siūlyti atnaujinti institucines gaires, skatinančias publikavimą tarptautiniu mastu pripažintuose žurnaluose (Q1/Q2, WoS).</w:t>
            </w:r>
          </w:p>
        </w:tc>
        <w:tc>
          <w:tcPr>
            <w:tcW w:w="1559" w:type="dxa"/>
          </w:tcPr>
          <w:p w14:paraId="6F6BD0E5" w14:textId="303F1209" w:rsidR="00A061F7" w:rsidRPr="004D0B79" w:rsidRDefault="00A061F7" w:rsidP="005B3E4E">
            <w:pPr>
              <w:rPr>
                <w:rFonts w:cs="Times New Roman"/>
                <w:sz w:val="20"/>
                <w:szCs w:val="20"/>
              </w:rPr>
            </w:pPr>
            <w:r w:rsidRPr="004D0B79">
              <w:rPr>
                <w:rFonts w:cs="Times New Roman"/>
                <w:sz w:val="20"/>
                <w:szCs w:val="20"/>
              </w:rPr>
              <w:t>2025-12</w:t>
            </w:r>
          </w:p>
        </w:tc>
        <w:tc>
          <w:tcPr>
            <w:tcW w:w="1350" w:type="dxa"/>
          </w:tcPr>
          <w:p w14:paraId="2E5159EB" w14:textId="12ABFE9B" w:rsidR="00A061F7" w:rsidRPr="004D0B79" w:rsidRDefault="004D3840" w:rsidP="005B3E4E">
            <w:pPr>
              <w:rPr>
                <w:rFonts w:cs="Times New Roman"/>
                <w:sz w:val="20"/>
                <w:szCs w:val="20"/>
              </w:rPr>
            </w:pPr>
            <w:r>
              <w:rPr>
                <w:rFonts w:cs="Times New Roman"/>
                <w:sz w:val="20"/>
                <w:szCs w:val="20"/>
              </w:rPr>
              <w:t>F</w:t>
            </w:r>
            <w:r w:rsidR="00A061F7" w:rsidRPr="004D0B79">
              <w:rPr>
                <w:rFonts w:cs="Times New Roman"/>
                <w:sz w:val="20"/>
                <w:szCs w:val="20"/>
              </w:rPr>
              <w:t>akultetas</w:t>
            </w:r>
            <w:r>
              <w:rPr>
                <w:rFonts w:cs="Times New Roman"/>
                <w:sz w:val="20"/>
                <w:szCs w:val="20"/>
              </w:rPr>
              <w:t>,</w:t>
            </w:r>
            <w:r w:rsidR="00A061F7" w:rsidRPr="004D0B79">
              <w:rPr>
                <w:rFonts w:cs="Times New Roman"/>
                <w:sz w:val="20"/>
                <w:szCs w:val="20"/>
              </w:rPr>
              <w:t xml:space="preserve"> centrinė administracija</w:t>
            </w:r>
          </w:p>
        </w:tc>
        <w:tc>
          <w:tcPr>
            <w:tcW w:w="984" w:type="dxa"/>
          </w:tcPr>
          <w:p w14:paraId="0B1D3D8F" w14:textId="458E2298" w:rsidR="00A061F7" w:rsidRPr="004D0B79" w:rsidRDefault="00A061F7" w:rsidP="006509E4">
            <w:pPr>
              <w:jc w:val="center"/>
              <w:rPr>
                <w:rFonts w:cs="Times New Roman"/>
                <w:sz w:val="20"/>
                <w:szCs w:val="20"/>
              </w:rPr>
            </w:pPr>
          </w:p>
        </w:tc>
      </w:tr>
      <w:tr w:rsidR="00A061F7" w:rsidRPr="004D0B79" w14:paraId="05799285" w14:textId="77777777" w:rsidTr="000E74A7">
        <w:trPr>
          <w:trHeight w:val="1334"/>
        </w:trPr>
        <w:tc>
          <w:tcPr>
            <w:tcW w:w="805" w:type="dxa"/>
            <w:vMerge/>
          </w:tcPr>
          <w:p w14:paraId="5FDE4834" w14:textId="77777777" w:rsidR="00A061F7" w:rsidRPr="004D0B79" w:rsidRDefault="00A061F7" w:rsidP="006509E4">
            <w:pPr>
              <w:jc w:val="center"/>
              <w:rPr>
                <w:rFonts w:cs="Times New Roman"/>
                <w:sz w:val="20"/>
                <w:szCs w:val="20"/>
              </w:rPr>
            </w:pPr>
          </w:p>
        </w:tc>
        <w:tc>
          <w:tcPr>
            <w:tcW w:w="3726" w:type="dxa"/>
            <w:vMerge/>
          </w:tcPr>
          <w:p w14:paraId="6D84D7D1" w14:textId="77777777" w:rsidR="00A061F7" w:rsidRPr="004D0B79" w:rsidRDefault="00A061F7" w:rsidP="009A18F2">
            <w:pPr>
              <w:rPr>
                <w:rFonts w:cs="Times New Roman"/>
                <w:sz w:val="20"/>
                <w:szCs w:val="20"/>
              </w:rPr>
            </w:pPr>
          </w:p>
        </w:tc>
        <w:tc>
          <w:tcPr>
            <w:tcW w:w="5245" w:type="dxa"/>
          </w:tcPr>
          <w:p w14:paraId="151D4829" w14:textId="32E57407" w:rsidR="00A061F7" w:rsidRPr="004D0B79" w:rsidRDefault="00A061F7" w:rsidP="0067660C">
            <w:pPr>
              <w:rPr>
                <w:rFonts w:cs="Times New Roman"/>
                <w:sz w:val="20"/>
                <w:szCs w:val="20"/>
              </w:rPr>
            </w:pPr>
            <w:r w:rsidRPr="004D0B79">
              <w:rPr>
                <w:rFonts w:cs="Times New Roman"/>
                <w:sz w:val="20"/>
                <w:szCs w:val="20"/>
              </w:rPr>
              <w:t>Rengti dėstytojų mokslinių kompetencijų tobulinimo veiklas, supažindinant juos su planuojamais projektų kvietimais, rekomendacijomis ir patirtimi rengiant aukštos kvalifikacijos mokslinius straipsnius ir tarptautines projektų paraiškas.</w:t>
            </w:r>
          </w:p>
        </w:tc>
        <w:tc>
          <w:tcPr>
            <w:tcW w:w="1559" w:type="dxa"/>
          </w:tcPr>
          <w:p w14:paraId="1F660205" w14:textId="66703CD2" w:rsidR="00A061F7" w:rsidRPr="004D0B79" w:rsidRDefault="00A061F7" w:rsidP="005B3E4E">
            <w:pPr>
              <w:rPr>
                <w:rFonts w:cs="Times New Roman"/>
                <w:sz w:val="20"/>
                <w:szCs w:val="20"/>
              </w:rPr>
            </w:pPr>
            <w:r w:rsidRPr="004D0B79">
              <w:rPr>
                <w:rFonts w:cs="Times New Roman"/>
                <w:sz w:val="20"/>
                <w:szCs w:val="20"/>
              </w:rPr>
              <w:t>2030-12</w:t>
            </w:r>
          </w:p>
        </w:tc>
        <w:tc>
          <w:tcPr>
            <w:tcW w:w="1350" w:type="dxa"/>
          </w:tcPr>
          <w:p w14:paraId="27684B57" w14:textId="4E89E6D9" w:rsidR="00A061F7" w:rsidRPr="004D0B79" w:rsidRDefault="004D3840" w:rsidP="004D3840">
            <w:pPr>
              <w:rPr>
                <w:rFonts w:cs="Times New Roman"/>
                <w:sz w:val="20"/>
                <w:szCs w:val="20"/>
              </w:rPr>
            </w:pPr>
            <w:r>
              <w:rPr>
                <w:rFonts w:cs="Times New Roman"/>
                <w:sz w:val="20"/>
                <w:szCs w:val="20"/>
              </w:rPr>
              <w:t>K</w:t>
            </w:r>
            <w:r w:rsidR="00A061F7" w:rsidRPr="004D0B79">
              <w:rPr>
                <w:rFonts w:cs="Times New Roman"/>
                <w:sz w:val="20"/>
                <w:szCs w:val="20"/>
              </w:rPr>
              <w:t>atedra</w:t>
            </w:r>
            <w:r>
              <w:rPr>
                <w:rFonts w:cs="Times New Roman"/>
                <w:sz w:val="20"/>
                <w:szCs w:val="20"/>
              </w:rPr>
              <w:t xml:space="preserve">, </w:t>
            </w:r>
            <w:r w:rsidR="000E74A7" w:rsidRPr="004D0B79">
              <w:rPr>
                <w:rFonts w:cs="Times New Roman"/>
                <w:sz w:val="20"/>
                <w:szCs w:val="20"/>
              </w:rPr>
              <w:t>centrinė administracija</w:t>
            </w:r>
          </w:p>
        </w:tc>
        <w:tc>
          <w:tcPr>
            <w:tcW w:w="984" w:type="dxa"/>
          </w:tcPr>
          <w:p w14:paraId="1C586078" w14:textId="379CCACF" w:rsidR="00A061F7" w:rsidRPr="004D0B79" w:rsidRDefault="00A061F7" w:rsidP="0067660C">
            <w:pPr>
              <w:rPr>
                <w:rFonts w:cs="Times New Roman"/>
                <w:sz w:val="20"/>
                <w:szCs w:val="20"/>
              </w:rPr>
            </w:pPr>
          </w:p>
        </w:tc>
      </w:tr>
      <w:tr w:rsidR="00A061F7" w:rsidRPr="004D0B79" w14:paraId="1C61A642" w14:textId="77777777" w:rsidTr="000E74A7">
        <w:tc>
          <w:tcPr>
            <w:tcW w:w="805" w:type="dxa"/>
          </w:tcPr>
          <w:p w14:paraId="5B6C9D80" w14:textId="25242AC9" w:rsidR="00A061F7" w:rsidRPr="004D0B79" w:rsidRDefault="00A061F7" w:rsidP="00A061F7">
            <w:pPr>
              <w:jc w:val="center"/>
              <w:rPr>
                <w:rFonts w:cs="Times New Roman"/>
                <w:sz w:val="20"/>
                <w:szCs w:val="20"/>
              </w:rPr>
            </w:pPr>
            <w:r w:rsidRPr="004D0B79">
              <w:rPr>
                <w:rFonts w:cs="Times New Roman"/>
                <w:sz w:val="20"/>
                <w:szCs w:val="20"/>
              </w:rPr>
              <w:t>2.2.</w:t>
            </w:r>
          </w:p>
        </w:tc>
        <w:tc>
          <w:tcPr>
            <w:tcW w:w="3726" w:type="dxa"/>
          </w:tcPr>
          <w:p w14:paraId="70E31994" w14:textId="4DBD0258" w:rsidR="00A061F7" w:rsidRPr="004D0B79" w:rsidRDefault="00A061F7" w:rsidP="00A061F7">
            <w:pPr>
              <w:rPr>
                <w:rFonts w:cs="Times New Roman"/>
                <w:sz w:val="20"/>
                <w:szCs w:val="20"/>
              </w:rPr>
            </w:pPr>
            <w:r w:rsidRPr="004D0B79">
              <w:rPr>
                <w:rFonts w:cs="Times New Roman"/>
                <w:sz w:val="20"/>
                <w:szCs w:val="20"/>
              </w:rPr>
              <w:t>Ekspertų grupė pataria VGTU plėtoti tolesnes priemones (be finansinių paskatų), kad potencialiai visi dėstytojai (ar bent kiek įmanoma daugiau) taptų aktyviais mokslininkais, ypač tose dviejose srityse (Informatika ir Informatikos inžinerija), kurios nepasiekė geriausių rezultatų. paskutinis STRATA tyrimo vertinimas.</w:t>
            </w:r>
          </w:p>
        </w:tc>
        <w:tc>
          <w:tcPr>
            <w:tcW w:w="5245" w:type="dxa"/>
          </w:tcPr>
          <w:p w14:paraId="3B4BDB75" w14:textId="77777777" w:rsidR="00A061F7" w:rsidRDefault="00A061F7" w:rsidP="00A061F7">
            <w:pPr>
              <w:rPr>
                <w:rFonts w:cs="Times New Roman"/>
                <w:sz w:val="20"/>
                <w:szCs w:val="20"/>
              </w:rPr>
            </w:pPr>
            <w:r w:rsidRPr="004D0B79">
              <w:rPr>
                <w:rFonts w:cs="Times New Roman"/>
                <w:sz w:val="20"/>
                <w:szCs w:val="20"/>
              </w:rPr>
              <w:t>Įgyvendinti mentorystės iniciatyvas, kuriose patyrę tyrėjai padėtų mažiau aktyviems dėstytojams įsitraukti į mokslinius tyrimus.</w:t>
            </w:r>
          </w:p>
          <w:p w14:paraId="53593A0D" w14:textId="682EF10B" w:rsidR="00A061F7" w:rsidRPr="004D0B79" w:rsidRDefault="00A061F7" w:rsidP="00A061F7">
            <w:pPr>
              <w:rPr>
                <w:rFonts w:cs="Times New Roman"/>
                <w:strike/>
                <w:sz w:val="20"/>
                <w:szCs w:val="20"/>
              </w:rPr>
            </w:pPr>
            <w:r w:rsidRPr="004D0B79">
              <w:rPr>
                <w:rFonts w:cs="Times New Roman"/>
                <w:sz w:val="20"/>
                <w:szCs w:val="20"/>
              </w:rPr>
              <w:t>Siūlyti įgyvendinti paskatas aktyviai tyrimais užsiimantiems mokslininkams, pvz. , sumažinti dėstymo krūvį ir pan.</w:t>
            </w:r>
          </w:p>
        </w:tc>
        <w:tc>
          <w:tcPr>
            <w:tcW w:w="1559" w:type="dxa"/>
          </w:tcPr>
          <w:p w14:paraId="2114E528" w14:textId="219C71CB" w:rsidR="00A061F7" w:rsidRPr="004D0B79" w:rsidRDefault="00A061F7" w:rsidP="00A061F7">
            <w:pPr>
              <w:rPr>
                <w:rFonts w:cs="Times New Roman"/>
                <w:sz w:val="20"/>
                <w:szCs w:val="20"/>
              </w:rPr>
            </w:pPr>
            <w:r w:rsidRPr="004D0B79">
              <w:rPr>
                <w:rFonts w:cs="Times New Roman"/>
                <w:sz w:val="20"/>
                <w:szCs w:val="20"/>
              </w:rPr>
              <w:t>2030-12</w:t>
            </w:r>
          </w:p>
        </w:tc>
        <w:tc>
          <w:tcPr>
            <w:tcW w:w="1350" w:type="dxa"/>
          </w:tcPr>
          <w:p w14:paraId="39A8009B" w14:textId="66E1EBF1" w:rsidR="00A061F7" w:rsidRPr="004D3840" w:rsidRDefault="004D3840" w:rsidP="00A061F7">
            <w:pPr>
              <w:rPr>
                <w:rFonts w:cs="Times New Roman"/>
                <w:sz w:val="20"/>
                <w:szCs w:val="20"/>
              </w:rPr>
            </w:pPr>
            <w:r w:rsidRPr="004D3840">
              <w:rPr>
                <w:rFonts w:cs="Times New Roman"/>
                <w:sz w:val="20"/>
                <w:szCs w:val="20"/>
              </w:rPr>
              <w:t>K</w:t>
            </w:r>
            <w:r w:rsidR="00A061F7" w:rsidRPr="004D3840">
              <w:rPr>
                <w:rFonts w:cs="Times New Roman"/>
                <w:sz w:val="20"/>
                <w:szCs w:val="20"/>
              </w:rPr>
              <w:t>atedra</w:t>
            </w:r>
          </w:p>
        </w:tc>
        <w:tc>
          <w:tcPr>
            <w:tcW w:w="984" w:type="dxa"/>
          </w:tcPr>
          <w:p w14:paraId="7D2C0250" w14:textId="77777777" w:rsidR="00A061F7" w:rsidRPr="004D0B79" w:rsidRDefault="00A061F7" w:rsidP="00A061F7">
            <w:pPr>
              <w:jc w:val="center"/>
              <w:rPr>
                <w:rFonts w:cs="Times New Roman"/>
                <w:sz w:val="20"/>
                <w:szCs w:val="20"/>
              </w:rPr>
            </w:pPr>
          </w:p>
        </w:tc>
      </w:tr>
      <w:tr w:rsidR="00A061F7" w:rsidRPr="004D0B79" w14:paraId="4C9BDC70" w14:textId="77777777" w:rsidTr="000E74A7">
        <w:tc>
          <w:tcPr>
            <w:tcW w:w="805" w:type="dxa"/>
          </w:tcPr>
          <w:p w14:paraId="6933FABB" w14:textId="09520B4D" w:rsidR="00A061F7" w:rsidRPr="004D0B79" w:rsidRDefault="00A061F7" w:rsidP="006509E4">
            <w:pPr>
              <w:jc w:val="center"/>
              <w:rPr>
                <w:rFonts w:cs="Times New Roman"/>
                <w:sz w:val="20"/>
                <w:szCs w:val="20"/>
              </w:rPr>
            </w:pPr>
            <w:r w:rsidRPr="004D0B79">
              <w:rPr>
                <w:rFonts w:cs="Times New Roman"/>
                <w:sz w:val="20"/>
                <w:szCs w:val="20"/>
              </w:rPr>
              <w:t>2.3.</w:t>
            </w:r>
          </w:p>
        </w:tc>
        <w:tc>
          <w:tcPr>
            <w:tcW w:w="3726" w:type="dxa"/>
          </w:tcPr>
          <w:p w14:paraId="0A26C016" w14:textId="00EB6F92" w:rsidR="00A061F7" w:rsidRPr="004D0B79" w:rsidRDefault="00A061F7" w:rsidP="009A18F2">
            <w:pPr>
              <w:rPr>
                <w:rFonts w:cs="Times New Roman"/>
                <w:sz w:val="20"/>
                <w:szCs w:val="20"/>
              </w:rPr>
            </w:pPr>
            <w:r w:rsidRPr="004D0B79">
              <w:rPr>
                <w:rFonts w:cs="Times New Roman"/>
                <w:sz w:val="20"/>
                <w:szCs w:val="20"/>
              </w:rPr>
              <w:t>Papildoma priemonė VGTU informatikos mokslo profiliui stiprinti galėtų būti konkurencingos doktorantūros studijų programos įdiegimas, galimai bendradarbiaujant su tarptautiniais universitetais partneriais.</w:t>
            </w:r>
          </w:p>
        </w:tc>
        <w:tc>
          <w:tcPr>
            <w:tcW w:w="5245" w:type="dxa"/>
          </w:tcPr>
          <w:p w14:paraId="0BA3D1E7" w14:textId="5B6EDE7C" w:rsidR="00A061F7" w:rsidRPr="004D0B79" w:rsidRDefault="00A061F7" w:rsidP="00F74CF1">
            <w:pPr>
              <w:rPr>
                <w:rFonts w:cs="Times New Roman"/>
                <w:sz w:val="20"/>
                <w:szCs w:val="20"/>
              </w:rPr>
            </w:pPr>
            <w:r w:rsidRPr="004D0B79">
              <w:rPr>
                <w:rFonts w:cs="Times New Roman"/>
                <w:sz w:val="20"/>
                <w:szCs w:val="20"/>
              </w:rPr>
              <w:t xml:space="preserve">Įvertinti VILNIUS TECH galimybes teikti paraišką įgyti teisę vykdyti Informatikos mokslų krypties doktorantūros studijas. </w:t>
            </w:r>
          </w:p>
        </w:tc>
        <w:tc>
          <w:tcPr>
            <w:tcW w:w="1559" w:type="dxa"/>
          </w:tcPr>
          <w:p w14:paraId="26B85074" w14:textId="15F3F1D8" w:rsidR="00A061F7" w:rsidRPr="004D0B79" w:rsidRDefault="00A061F7" w:rsidP="005B3E4E">
            <w:pPr>
              <w:rPr>
                <w:rFonts w:cs="Times New Roman"/>
                <w:sz w:val="20"/>
                <w:szCs w:val="20"/>
              </w:rPr>
            </w:pPr>
            <w:r w:rsidRPr="004D0B79">
              <w:rPr>
                <w:rFonts w:cs="Times New Roman"/>
                <w:sz w:val="20"/>
                <w:szCs w:val="20"/>
              </w:rPr>
              <w:t>2027-12</w:t>
            </w:r>
          </w:p>
        </w:tc>
        <w:tc>
          <w:tcPr>
            <w:tcW w:w="1350" w:type="dxa"/>
          </w:tcPr>
          <w:p w14:paraId="07F33B33" w14:textId="2A3EABAC" w:rsidR="00A061F7" w:rsidRPr="004D0B79" w:rsidRDefault="004D3840" w:rsidP="005B3E4E">
            <w:pPr>
              <w:rPr>
                <w:rFonts w:cs="Times New Roman"/>
                <w:sz w:val="20"/>
                <w:szCs w:val="20"/>
              </w:rPr>
            </w:pPr>
            <w:r>
              <w:rPr>
                <w:rFonts w:cs="Times New Roman"/>
                <w:sz w:val="20"/>
                <w:szCs w:val="20"/>
              </w:rPr>
              <w:t>F</w:t>
            </w:r>
            <w:r w:rsidR="00A061F7" w:rsidRPr="004D0B79">
              <w:rPr>
                <w:rFonts w:cs="Times New Roman"/>
                <w:sz w:val="20"/>
                <w:szCs w:val="20"/>
              </w:rPr>
              <w:t>akultetas, centrinė administracija</w:t>
            </w:r>
          </w:p>
        </w:tc>
        <w:tc>
          <w:tcPr>
            <w:tcW w:w="984" w:type="dxa"/>
          </w:tcPr>
          <w:p w14:paraId="1932CAD4" w14:textId="77777777" w:rsidR="00A061F7" w:rsidRPr="004D0B79" w:rsidRDefault="00A061F7" w:rsidP="006509E4">
            <w:pPr>
              <w:jc w:val="center"/>
              <w:rPr>
                <w:rFonts w:cs="Times New Roman"/>
                <w:sz w:val="20"/>
                <w:szCs w:val="20"/>
              </w:rPr>
            </w:pPr>
          </w:p>
        </w:tc>
      </w:tr>
      <w:tr w:rsidR="00A061F7" w:rsidRPr="004D0B79" w14:paraId="32392D26" w14:textId="77777777" w:rsidTr="000E74A7">
        <w:tc>
          <w:tcPr>
            <w:tcW w:w="805" w:type="dxa"/>
          </w:tcPr>
          <w:p w14:paraId="4B133AFC" w14:textId="071F27B0" w:rsidR="00A061F7" w:rsidRPr="004D0B79" w:rsidRDefault="00A061F7" w:rsidP="006509E4">
            <w:pPr>
              <w:jc w:val="center"/>
              <w:rPr>
                <w:rFonts w:cs="Times New Roman"/>
                <w:sz w:val="20"/>
                <w:szCs w:val="20"/>
              </w:rPr>
            </w:pPr>
            <w:r w:rsidRPr="004D0B79">
              <w:rPr>
                <w:rFonts w:cs="Times New Roman"/>
                <w:sz w:val="20"/>
                <w:szCs w:val="20"/>
              </w:rPr>
              <w:t>3.</w:t>
            </w:r>
          </w:p>
        </w:tc>
        <w:tc>
          <w:tcPr>
            <w:tcW w:w="3726" w:type="dxa"/>
          </w:tcPr>
          <w:p w14:paraId="3BCAB89A" w14:textId="1154FE7F" w:rsidR="00A061F7" w:rsidRPr="004D0B79" w:rsidRDefault="00A061F7" w:rsidP="009A18F2">
            <w:pPr>
              <w:rPr>
                <w:rFonts w:cs="Times New Roman"/>
                <w:b/>
                <w:sz w:val="20"/>
                <w:szCs w:val="20"/>
              </w:rPr>
            </w:pPr>
            <w:r w:rsidRPr="004D0B79">
              <w:rPr>
                <w:rFonts w:cs="Times New Roman"/>
                <w:b/>
                <w:sz w:val="20"/>
                <w:szCs w:val="20"/>
              </w:rPr>
              <w:t>Studentų priėmimas ir parama</w:t>
            </w:r>
          </w:p>
        </w:tc>
        <w:tc>
          <w:tcPr>
            <w:tcW w:w="5245" w:type="dxa"/>
          </w:tcPr>
          <w:p w14:paraId="6B18CABA" w14:textId="77777777" w:rsidR="00A061F7" w:rsidRPr="004D0B79" w:rsidRDefault="00A061F7" w:rsidP="006509E4">
            <w:pPr>
              <w:jc w:val="center"/>
              <w:rPr>
                <w:rFonts w:cs="Times New Roman"/>
                <w:sz w:val="20"/>
                <w:szCs w:val="20"/>
              </w:rPr>
            </w:pPr>
          </w:p>
        </w:tc>
        <w:tc>
          <w:tcPr>
            <w:tcW w:w="1559" w:type="dxa"/>
          </w:tcPr>
          <w:p w14:paraId="31263928" w14:textId="4F68FD23" w:rsidR="00A061F7" w:rsidRPr="004D0B79" w:rsidRDefault="00A061F7" w:rsidP="005B3E4E">
            <w:pPr>
              <w:rPr>
                <w:rFonts w:cs="Times New Roman"/>
                <w:sz w:val="20"/>
                <w:szCs w:val="20"/>
              </w:rPr>
            </w:pPr>
          </w:p>
        </w:tc>
        <w:tc>
          <w:tcPr>
            <w:tcW w:w="1350" w:type="dxa"/>
          </w:tcPr>
          <w:p w14:paraId="226B897A" w14:textId="77777777" w:rsidR="00A061F7" w:rsidRPr="004D0B79" w:rsidRDefault="00A061F7" w:rsidP="005B3E4E">
            <w:pPr>
              <w:rPr>
                <w:rFonts w:cs="Times New Roman"/>
                <w:sz w:val="20"/>
                <w:szCs w:val="20"/>
              </w:rPr>
            </w:pPr>
          </w:p>
        </w:tc>
        <w:tc>
          <w:tcPr>
            <w:tcW w:w="984" w:type="dxa"/>
          </w:tcPr>
          <w:p w14:paraId="1285CDE9" w14:textId="77777777" w:rsidR="00A061F7" w:rsidRPr="004D0B79" w:rsidRDefault="00A061F7" w:rsidP="006509E4">
            <w:pPr>
              <w:jc w:val="center"/>
              <w:rPr>
                <w:rFonts w:cs="Times New Roman"/>
                <w:sz w:val="20"/>
                <w:szCs w:val="20"/>
              </w:rPr>
            </w:pPr>
          </w:p>
        </w:tc>
      </w:tr>
      <w:tr w:rsidR="00A061F7" w:rsidRPr="004D0B79" w14:paraId="3606D581" w14:textId="77777777" w:rsidTr="000E74A7">
        <w:tc>
          <w:tcPr>
            <w:tcW w:w="805" w:type="dxa"/>
          </w:tcPr>
          <w:p w14:paraId="1264A216" w14:textId="01036B1D" w:rsidR="00A061F7" w:rsidRPr="004D0B79" w:rsidRDefault="00A061F7" w:rsidP="006509E4">
            <w:pPr>
              <w:jc w:val="center"/>
              <w:rPr>
                <w:rFonts w:cs="Times New Roman"/>
                <w:sz w:val="20"/>
                <w:szCs w:val="20"/>
              </w:rPr>
            </w:pPr>
            <w:r w:rsidRPr="004D0B79">
              <w:rPr>
                <w:rFonts w:cs="Times New Roman"/>
                <w:sz w:val="20"/>
                <w:szCs w:val="20"/>
              </w:rPr>
              <w:t>3.1..</w:t>
            </w:r>
          </w:p>
        </w:tc>
        <w:tc>
          <w:tcPr>
            <w:tcW w:w="3726" w:type="dxa"/>
          </w:tcPr>
          <w:p w14:paraId="39AAE0F6" w14:textId="4E28FBE8" w:rsidR="00A061F7" w:rsidRPr="004D0B79" w:rsidRDefault="00A061F7" w:rsidP="009A18F2">
            <w:pPr>
              <w:rPr>
                <w:rFonts w:cs="Times New Roman"/>
                <w:sz w:val="20"/>
                <w:szCs w:val="20"/>
              </w:rPr>
            </w:pPr>
            <w:r w:rsidRPr="004D0B79">
              <w:rPr>
                <w:rFonts w:cs="Times New Roman"/>
                <w:sz w:val="20"/>
                <w:szCs w:val="20"/>
              </w:rPr>
              <w:t>Siekiant didesnio studentų judumo, reikėtų imtis papildomų priemonių (pvz., supaprastinti administracinius procesus teikiant paraiškas mobilumo programoms, teikti papildomą pagalbą proceso metu).</w:t>
            </w:r>
          </w:p>
        </w:tc>
        <w:tc>
          <w:tcPr>
            <w:tcW w:w="5245" w:type="dxa"/>
          </w:tcPr>
          <w:p w14:paraId="6B851555" w14:textId="219FFA44" w:rsidR="00A061F7" w:rsidRPr="004D0B79" w:rsidRDefault="00A061F7" w:rsidP="00F74CF1">
            <w:pPr>
              <w:rPr>
                <w:rFonts w:cs="Times New Roman"/>
                <w:sz w:val="20"/>
                <w:szCs w:val="20"/>
              </w:rPr>
            </w:pPr>
            <w:r w:rsidRPr="004D0B79">
              <w:rPr>
                <w:rFonts w:cs="Times New Roman"/>
                <w:sz w:val="20"/>
                <w:szCs w:val="20"/>
              </w:rPr>
              <w:t>Siūlyti URD peržiūrėti ir supaprastinti administracinius procesus teikiant paraiškas mobilumo programoms</w:t>
            </w:r>
          </w:p>
        </w:tc>
        <w:tc>
          <w:tcPr>
            <w:tcW w:w="1559" w:type="dxa"/>
          </w:tcPr>
          <w:p w14:paraId="6B904128" w14:textId="4114A3E5" w:rsidR="00A061F7" w:rsidRPr="004D0B79" w:rsidRDefault="00A061F7" w:rsidP="005B3E4E">
            <w:pPr>
              <w:rPr>
                <w:rFonts w:cs="Times New Roman"/>
                <w:sz w:val="20"/>
                <w:szCs w:val="20"/>
              </w:rPr>
            </w:pPr>
            <w:r w:rsidRPr="004D0B79">
              <w:rPr>
                <w:rFonts w:cs="Times New Roman"/>
                <w:sz w:val="20"/>
                <w:szCs w:val="20"/>
              </w:rPr>
              <w:t>2025-12</w:t>
            </w:r>
          </w:p>
        </w:tc>
        <w:tc>
          <w:tcPr>
            <w:tcW w:w="1350" w:type="dxa"/>
          </w:tcPr>
          <w:p w14:paraId="18208F4C" w14:textId="6DFC5DE5" w:rsidR="00A061F7" w:rsidRPr="004D0B79" w:rsidRDefault="00A061F7" w:rsidP="005B3E4E">
            <w:pPr>
              <w:rPr>
                <w:rFonts w:cs="Times New Roman"/>
                <w:sz w:val="20"/>
                <w:szCs w:val="20"/>
              </w:rPr>
            </w:pPr>
            <w:r w:rsidRPr="004D0B79">
              <w:rPr>
                <w:rFonts w:cs="Times New Roman"/>
                <w:sz w:val="20"/>
                <w:szCs w:val="20"/>
              </w:rPr>
              <w:t>SPK</w:t>
            </w:r>
            <w:r>
              <w:rPr>
                <w:rFonts w:cs="Times New Roman"/>
                <w:sz w:val="20"/>
                <w:szCs w:val="20"/>
              </w:rPr>
              <w:t>, fakultetas</w:t>
            </w:r>
          </w:p>
        </w:tc>
        <w:tc>
          <w:tcPr>
            <w:tcW w:w="984" w:type="dxa"/>
          </w:tcPr>
          <w:p w14:paraId="34262283" w14:textId="77777777" w:rsidR="00A061F7" w:rsidRPr="004D0B79" w:rsidRDefault="00A061F7" w:rsidP="006509E4">
            <w:pPr>
              <w:jc w:val="center"/>
              <w:rPr>
                <w:rFonts w:cs="Times New Roman"/>
                <w:sz w:val="20"/>
                <w:szCs w:val="20"/>
              </w:rPr>
            </w:pPr>
          </w:p>
        </w:tc>
      </w:tr>
      <w:tr w:rsidR="00A061F7" w:rsidRPr="004D0B79" w14:paraId="2CDEB6CA" w14:textId="77777777" w:rsidTr="000E74A7">
        <w:tc>
          <w:tcPr>
            <w:tcW w:w="805" w:type="dxa"/>
          </w:tcPr>
          <w:p w14:paraId="43C25F7D" w14:textId="1CA66545" w:rsidR="00A061F7" w:rsidRPr="004D0B79" w:rsidRDefault="00A061F7" w:rsidP="006509E4">
            <w:pPr>
              <w:jc w:val="center"/>
              <w:rPr>
                <w:rFonts w:cs="Times New Roman"/>
                <w:sz w:val="20"/>
                <w:szCs w:val="20"/>
              </w:rPr>
            </w:pPr>
            <w:r w:rsidRPr="004D0B79">
              <w:rPr>
                <w:rFonts w:cs="Times New Roman"/>
                <w:sz w:val="20"/>
                <w:szCs w:val="20"/>
              </w:rPr>
              <w:t>4.</w:t>
            </w:r>
          </w:p>
        </w:tc>
        <w:tc>
          <w:tcPr>
            <w:tcW w:w="3726" w:type="dxa"/>
          </w:tcPr>
          <w:p w14:paraId="12D618A0" w14:textId="017CEBB5" w:rsidR="00A061F7" w:rsidRPr="004D0B79" w:rsidRDefault="00A061F7" w:rsidP="009A18F2">
            <w:pPr>
              <w:rPr>
                <w:rFonts w:cs="Times New Roman"/>
                <w:b/>
                <w:sz w:val="20"/>
                <w:szCs w:val="20"/>
              </w:rPr>
            </w:pPr>
            <w:r w:rsidRPr="004D0B79">
              <w:rPr>
                <w:rFonts w:cs="Times New Roman"/>
                <w:b/>
                <w:sz w:val="20"/>
                <w:szCs w:val="20"/>
              </w:rPr>
              <w:t>Studijavimas, studijų pasiekimai ir absolventų užimtumas</w:t>
            </w:r>
          </w:p>
        </w:tc>
        <w:tc>
          <w:tcPr>
            <w:tcW w:w="5245" w:type="dxa"/>
          </w:tcPr>
          <w:p w14:paraId="3A7B8047" w14:textId="77777777" w:rsidR="00A061F7" w:rsidRPr="004D0B79" w:rsidRDefault="00A061F7" w:rsidP="006509E4">
            <w:pPr>
              <w:jc w:val="center"/>
              <w:rPr>
                <w:rFonts w:cs="Times New Roman"/>
                <w:sz w:val="20"/>
                <w:szCs w:val="20"/>
              </w:rPr>
            </w:pPr>
          </w:p>
        </w:tc>
        <w:tc>
          <w:tcPr>
            <w:tcW w:w="1559" w:type="dxa"/>
          </w:tcPr>
          <w:p w14:paraId="2EF4E894" w14:textId="6C96B02A" w:rsidR="00A061F7" w:rsidRPr="004D0B79" w:rsidRDefault="00A061F7" w:rsidP="005B3E4E">
            <w:pPr>
              <w:rPr>
                <w:rFonts w:cs="Times New Roman"/>
                <w:sz w:val="20"/>
                <w:szCs w:val="20"/>
              </w:rPr>
            </w:pPr>
          </w:p>
        </w:tc>
        <w:tc>
          <w:tcPr>
            <w:tcW w:w="1350" w:type="dxa"/>
          </w:tcPr>
          <w:p w14:paraId="048B45DE" w14:textId="77777777" w:rsidR="00A061F7" w:rsidRPr="004D0B79" w:rsidRDefault="00A061F7" w:rsidP="005B3E4E">
            <w:pPr>
              <w:rPr>
                <w:rFonts w:cs="Times New Roman"/>
                <w:sz w:val="20"/>
                <w:szCs w:val="20"/>
              </w:rPr>
            </w:pPr>
          </w:p>
        </w:tc>
        <w:tc>
          <w:tcPr>
            <w:tcW w:w="984" w:type="dxa"/>
          </w:tcPr>
          <w:p w14:paraId="6E040FCA" w14:textId="77777777" w:rsidR="00A061F7" w:rsidRPr="004D0B79" w:rsidRDefault="00A061F7" w:rsidP="006509E4">
            <w:pPr>
              <w:jc w:val="center"/>
              <w:rPr>
                <w:rFonts w:cs="Times New Roman"/>
                <w:sz w:val="20"/>
                <w:szCs w:val="20"/>
              </w:rPr>
            </w:pPr>
          </w:p>
        </w:tc>
      </w:tr>
      <w:tr w:rsidR="00A061F7" w:rsidRPr="004D0B79" w14:paraId="778270DC" w14:textId="77777777" w:rsidTr="000E74A7">
        <w:tc>
          <w:tcPr>
            <w:tcW w:w="805" w:type="dxa"/>
          </w:tcPr>
          <w:p w14:paraId="4245D0D8" w14:textId="5309AB81" w:rsidR="00A061F7" w:rsidRPr="004D0B79" w:rsidRDefault="00A061F7" w:rsidP="00A061F7">
            <w:pPr>
              <w:jc w:val="center"/>
              <w:rPr>
                <w:rFonts w:cs="Times New Roman"/>
                <w:sz w:val="20"/>
                <w:szCs w:val="20"/>
              </w:rPr>
            </w:pPr>
            <w:r w:rsidRPr="004D0B79">
              <w:rPr>
                <w:rFonts w:cs="Times New Roman"/>
                <w:sz w:val="20"/>
                <w:szCs w:val="20"/>
              </w:rPr>
              <w:lastRenderedPageBreak/>
              <w:t>4.1.</w:t>
            </w:r>
          </w:p>
        </w:tc>
        <w:tc>
          <w:tcPr>
            <w:tcW w:w="3726" w:type="dxa"/>
          </w:tcPr>
          <w:p w14:paraId="0B69CFA7" w14:textId="059847AE" w:rsidR="00A061F7" w:rsidRPr="004D0B79" w:rsidRDefault="00A061F7" w:rsidP="00A061F7">
            <w:pPr>
              <w:rPr>
                <w:rFonts w:cs="Times New Roman"/>
                <w:b/>
                <w:sz w:val="20"/>
                <w:szCs w:val="20"/>
              </w:rPr>
            </w:pPr>
            <w:r w:rsidRPr="004D0B79">
              <w:rPr>
                <w:rFonts w:cs="Times New Roman"/>
                <w:sz w:val="20"/>
                <w:szCs w:val="20"/>
              </w:rPr>
              <w:t>Studentai mano, kad kai kurie dėstytojai turi išankstinį prastą požiūrį į juos. Universitetas turėtų būti pro aktyvus užkertant tokius blogus pavyzdžius.</w:t>
            </w:r>
          </w:p>
        </w:tc>
        <w:tc>
          <w:tcPr>
            <w:tcW w:w="5245" w:type="dxa"/>
          </w:tcPr>
          <w:p w14:paraId="7E2D6010" w14:textId="77777777" w:rsidR="00A061F7" w:rsidRPr="00FE6184" w:rsidRDefault="00A061F7" w:rsidP="00A061F7">
            <w:pPr>
              <w:rPr>
                <w:rFonts w:cs="Times New Roman"/>
                <w:sz w:val="20"/>
                <w:szCs w:val="20"/>
              </w:rPr>
            </w:pPr>
            <w:r w:rsidRPr="00FE6184">
              <w:rPr>
                <w:rFonts w:cs="Times New Roman"/>
                <w:sz w:val="20"/>
                <w:szCs w:val="20"/>
              </w:rPr>
              <w:t>Siūlyti fakultetui įdiegti nuolatinį, realiu laiku veikiantį studentų grįžtamojo ryšio mechanizmą, kuri</w:t>
            </w:r>
            <w:r>
              <w:rPr>
                <w:rFonts w:cs="Times New Roman"/>
                <w:sz w:val="20"/>
                <w:szCs w:val="20"/>
              </w:rPr>
              <w:t>s</w:t>
            </w:r>
            <w:r w:rsidRPr="00FE6184">
              <w:rPr>
                <w:rFonts w:cs="Times New Roman"/>
                <w:sz w:val="20"/>
                <w:szCs w:val="20"/>
              </w:rPr>
              <w:t xml:space="preserve"> leistų iš karto identifikuoti galimas problemas ir suteikti individualų grįžtamąjį ryšį dėstytojams, padedant jiems koreguoti požiūrį bei bendravimo būdą.</w:t>
            </w:r>
          </w:p>
          <w:p w14:paraId="755003B2" w14:textId="2DCB4A5D" w:rsidR="00A061F7" w:rsidRPr="004D0B79" w:rsidRDefault="00A061F7" w:rsidP="00A061F7">
            <w:pPr>
              <w:rPr>
                <w:rFonts w:cs="Times New Roman"/>
                <w:sz w:val="20"/>
                <w:szCs w:val="20"/>
              </w:rPr>
            </w:pPr>
            <w:r w:rsidRPr="00FE6184">
              <w:rPr>
                <w:rFonts w:cs="Times New Roman"/>
                <w:sz w:val="20"/>
                <w:szCs w:val="20"/>
              </w:rPr>
              <w:t>Aktyviai viešinti ir apdovanoti dėstytojus, kurie demonstruoja pagarbų bendravimą su studentais ir gerai vertinami studentų.</w:t>
            </w:r>
          </w:p>
        </w:tc>
        <w:tc>
          <w:tcPr>
            <w:tcW w:w="1559" w:type="dxa"/>
          </w:tcPr>
          <w:p w14:paraId="19AAAF30" w14:textId="1E32CA42" w:rsidR="00A061F7" w:rsidRPr="004D0B79" w:rsidRDefault="00A061F7" w:rsidP="00A061F7">
            <w:pPr>
              <w:rPr>
                <w:rFonts w:cs="Times New Roman"/>
                <w:sz w:val="20"/>
                <w:szCs w:val="20"/>
              </w:rPr>
            </w:pPr>
            <w:r w:rsidRPr="004D0B79">
              <w:rPr>
                <w:rFonts w:cs="Times New Roman"/>
                <w:sz w:val="20"/>
                <w:szCs w:val="20"/>
              </w:rPr>
              <w:t>2025-12</w:t>
            </w:r>
          </w:p>
        </w:tc>
        <w:tc>
          <w:tcPr>
            <w:tcW w:w="1350" w:type="dxa"/>
          </w:tcPr>
          <w:p w14:paraId="440F9117" w14:textId="2AD44771" w:rsidR="00A061F7" w:rsidRPr="004D0B79" w:rsidRDefault="00A061F7" w:rsidP="00A061F7">
            <w:pPr>
              <w:rPr>
                <w:rFonts w:cs="Times New Roman"/>
                <w:sz w:val="20"/>
                <w:szCs w:val="20"/>
              </w:rPr>
            </w:pPr>
            <w:r w:rsidRPr="004D0B79">
              <w:rPr>
                <w:rFonts w:cs="Times New Roman"/>
                <w:sz w:val="20"/>
                <w:szCs w:val="20"/>
              </w:rPr>
              <w:t>SPK, fakultetas</w:t>
            </w:r>
          </w:p>
        </w:tc>
        <w:tc>
          <w:tcPr>
            <w:tcW w:w="984" w:type="dxa"/>
          </w:tcPr>
          <w:p w14:paraId="243DF23A" w14:textId="77777777" w:rsidR="00A061F7" w:rsidRPr="004D0B79" w:rsidRDefault="00A061F7" w:rsidP="00A061F7">
            <w:pPr>
              <w:jc w:val="center"/>
              <w:rPr>
                <w:rFonts w:cs="Times New Roman"/>
                <w:sz w:val="20"/>
                <w:szCs w:val="20"/>
              </w:rPr>
            </w:pPr>
          </w:p>
        </w:tc>
      </w:tr>
      <w:tr w:rsidR="00A061F7" w:rsidRPr="004D0B79" w14:paraId="013B94A0" w14:textId="77777777" w:rsidTr="000E74A7">
        <w:tc>
          <w:tcPr>
            <w:tcW w:w="805" w:type="dxa"/>
          </w:tcPr>
          <w:p w14:paraId="1F1879B4" w14:textId="698ACDD4" w:rsidR="00A061F7" w:rsidRPr="004D0B79" w:rsidRDefault="00A061F7" w:rsidP="006509E4">
            <w:pPr>
              <w:jc w:val="center"/>
              <w:rPr>
                <w:rFonts w:cs="Times New Roman"/>
                <w:sz w:val="20"/>
                <w:szCs w:val="20"/>
              </w:rPr>
            </w:pPr>
            <w:r w:rsidRPr="004D0B79">
              <w:rPr>
                <w:rFonts w:cs="Times New Roman"/>
                <w:sz w:val="20"/>
                <w:szCs w:val="20"/>
              </w:rPr>
              <w:t>5.</w:t>
            </w:r>
          </w:p>
        </w:tc>
        <w:tc>
          <w:tcPr>
            <w:tcW w:w="3726" w:type="dxa"/>
          </w:tcPr>
          <w:p w14:paraId="0901A1CC" w14:textId="32EC2DD0" w:rsidR="00A061F7" w:rsidRPr="004D0B79" w:rsidRDefault="00A061F7" w:rsidP="009A18F2">
            <w:pPr>
              <w:rPr>
                <w:rFonts w:cs="Times New Roman"/>
                <w:b/>
                <w:sz w:val="20"/>
                <w:szCs w:val="20"/>
              </w:rPr>
            </w:pPr>
            <w:r w:rsidRPr="004D0B79">
              <w:rPr>
                <w:rFonts w:cs="Times New Roman"/>
                <w:b/>
                <w:sz w:val="20"/>
                <w:szCs w:val="20"/>
              </w:rPr>
              <w:t>Dėstytojai</w:t>
            </w:r>
          </w:p>
        </w:tc>
        <w:tc>
          <w:tcPr>
            <w:tcW w:w="5245" w:type="dxa"/>
          </w:tcPr>
          <w:p w14:paraId="1EA8B374" w14:textId="77777777" w:rsidR="00A061F7" w:rsidRPr="004D0B79" w:rsidRDefault="00A061F7" w:rsidP="006509E4">
            <w:pPr>
              <w:jc w:val="center"/>
              <w:rPr>
                <w:rFonts w:cs="Times New Roman"/>
                <w:sz w:val="20"/>
                <w:szCs w:val="20"/>
              </w:rPr>
            </w:pPr>
          </w:p>
        </w:tc>
        <w:tc>
          <w:tcPr>
            <w:tcW w:w="1559" w:type="dxa"/>
          </w:tcPr>
          <w:p w14:paraId="48F9204A" w14:textId="397A54E6" w:rsidR="00A061F7" w:rsidRPr="004D0B79" w:rsidRDefault="00A061F7" w:rsidP="005B3E4E">
            <w:pPr>
              <w:rPr>
                <w:rFonts w:cs="Times New Roman"/>
                <w:sz w:val="20"/>
                <w:szCs w:val="20"/>
              </w:rPr>
            </w:pPr>
          </w:p>
        </w:tc>
        <w:tc>
          <w:tcPr>
            <w:tcW w:w="1350" w:type="dxa"/>
          </w:tcPr>
          <w:p w14:paraId="185884BC" w14:textId="77777777" w:rsidR="00A061F7" w:rsidRPr="004D0B79" w:rsidRDefault="00A061F7" w:rsidP="005B3E4E">
            <w:pPr>
              <w:rPr>
                <w:rFonts w:cs="Times New Roman"/>
                <w:sz w:val="20"/>
                <w:szCs w:val="20"/>
              </w:rPr>
            </w:pPr>
          </w:p>
        </w:tc>
        <w:tc>
          <w:tcPr>
            <w:tcW w:w="984" w:type="dxa"/>
          </w:tcPr>
          <w:p w14:paraId="16E8EF93" w14:textId="77777777" w:rsidR="00A061F7" w:rsidRPr="004D0B79" w:rsidRDefault="00A061F7" w:rsidP="006509E4">
            <w:pPr>
              <w:jc w:val="center"/>
              <w:rPr>
                <w:rFonts w:cs="Times New Roman"/>
                <w:sz w:val="20"/>
                <w:szCs w:val="20"/>
              </w:rPr>
            </w:pPr>
          </w:p>
        </w:tc>
      </w:tr>
      <w:tr w:rsidR="00A061F7" w:rsidRPr="004D0B79" w14:paraId="69CB5294" w14:textId="77777777" w:rsidTr="000E74A7">
        <w:tc>
          <w:tcPr>
            <w:tcW w:w="805" w:type="dxa"/>
          </w:tcPr>
          <w:p w14:paraId="6081D213" w14:textId="69217842" w:rsidR="00A061F7" w:rsidRPr="004D0B79" w:rsidRDefault="00A061F7" w:rsidP="00F372A0">
            <w:pPr>
              <w:jc w:val="center"/>
              <w:rPr>
                <w:rFonts w:cs="Times New Roman"/>
                <w:sz w:val="20"/>
                <w:szCs w:val="20"/>
              </w:rPr>
            </w:pPr>
            <w:r w:rsidRPr="004D0B79">
              <w:rPr>
                <w:rFonts w:cs="Times New Roman"/>
                <w:sz w:val="20"/>
                <w:szCs w:val="20"/>
              </w:rPr>
              <w:t>5.1.</w:t>
            </w:r>
          </w:p>
        </w:tc>
        <w:tc>
          <w:tcPr>
            <w:tcW w:w="3726" w:type="dxa"/>
          </w:tcPr>
          <w:p w14:paraId="6F65189D" w14:textId="33F1BCC2" w:rsidR="00A061F7" w:rsidRPr="004D0B79" w:rsidRDefault="00A061F7" w:rsidP="00F372A0">
            <w:pPr>
              <w:rPr>
                <w:rFonts w:cs="Times New Roman"/>
                <w:sz w:val="20"/>
                <w:szCs w:val="20"/>
              </w:rPr>
            </w:pPr>
            <w:r w:rsidRPr="004D0B79">
              <w:rPr>
                <w:rFonts w:cs="Times New Roman"/>
                <w:sz w:val="20"/>
                <w:szCs w:val="20"/>
              </w:rPr>
              <w:t>Reikėtų apklausti studentus apie problemas, susijusias su dėstytojais, išanalizuoti jų atsiliepimus ir taisyti situaciją.</w:t>
            </w:r>
          </w:p>
        </w:tc>
        <w:tc>
          <w:tcPr>
            <w:tcW w:w="5245" w:type="dxa"/>
          </w:tcPr>
          <w:p w14:paraId="146E2697" w14:textId="23FAB36C" w:rsidR="00A061F7" w:rsidRPr="004D0B79" w:rsidRDefault="00A061F7" w:rsidP="00F372A0">
            <w:pPr>
              <w:rPr>
                <w:rFonts w:cs="Times New Roman"/>
                <w:sz w:val="20"/>
                <w:szCs w:val="20"/>
              </w:rPr>
            </w:pPr>
            <w:r w:rsidRPr="00FE6184">
              <w:rPr>
                <w:rFonts w:cs="Times New Roman"/>
                <w:sz w:val="20"/>
                <w:szCs w:val="20"/>
              </w:rPr>
              <w:t>Siūlyti fakultetui įdiegti nuolatinį, realiu laiku veikiantį studentų grįžtamojo ryšio mechanizmą, kuris leistų iš karto identifikuoti galimas problemas ir suteikti individualų grįžtamąjį ryšį dėstytojams, padedant jiems koreguoti požiūrį bei bendravimo būdą.</w:t>
            </w:r>
          </w:p>
        </w:tc>
        <w:tc>
          <w:tcPr>
            <w:tcW w:w="1559" w:type="dxa"/>
          </w:tcPr>
          <w:p w14:paraId="60CB2387" w14:textId="1B31FA18" w:rsidR="00A061F7" w:rsidRPr="004D0B79" w:rsidRDefault="00A061F7" w:rsidP="005B3E4E">
            <w:pPr>
              <w:rPr>
                <w:rFonts w:cs="Times New Roman"/>
                <w:sz w:val="20"/>
                <w:szCs w:val="20"/>
              </w:rPr>
            </w:pPr>
            <w:r w:rsidRPr="004D0B79">
              <w:rPr>
                <w:rFonts w:cs="Times New Roman"/>
                <w:sz w:val="20"/>
                <w:szCs w:val="20"/>
              </w:rPr>
              <w:t>2025-12</w:t>
            </w:r>
          </w:p>
        </w:tc>
        <w:tc>
          <w:tcPr>
            <w:tcW w:w="1350" w:type="dxa"/>
          </w:tcPr>
          <w:p w14:paraId="6C1EE67B" w14:textId="32D248FA" w:rsidR="00A061F7" w:rsidRPr="004D0B79" w:rsidRDefault="00A061F7" w:rsidP="005B3E4E">
            <w:pPr>
              <w:rPr>
                <w:rFonts w:cs="Times New Roman"/>
                <w:sz w:val="20"/>
                <w:szCs w:val="20"/>
              </w:rPr>
            </w:pPr>
            <w:r w:rsidRPr="004D0B79">
              <w:rPr>
                <w:rFonts w:cs="Times New Roman"/>
                <w:sz w:val="20"/>
                <w:szCs w:val="20"/>
              </w:rPr>
              <w:t>SPK</w:t>
            </w:r>
          </w:p>
        </w:tc>
        <w:tc>
          <w:tcPr>
            <w:tcW w:w="984" w:type="dxa"/>
          </w:tcPr>
          <w:p w14:paraId="787CE0DC" w14:textId="77777777" w:rsidR="00A061F7" w:rsidRPr="004D0B79" w:rsidRDefault="00A061F7" w:rsidP="00F372A0">
            <w:pPr>
              <w:jc w:val="center"/>
              <w:rPr>
                <w:rFonts w:cs="Times New Roman"/>
                <w:sz w:val="20"/>
                <w:szCs w:val="20"/>
              </w:rPr>
            </w:pPr>
          </w:p>
        </w:tc>
      </w:tr>
      <w:tr w:rsidR="00A061F7" w:rsidRPr="004D0B79" w14:paraId="021BD9BD" w14:textId="77777777" w:rsidTr="000E74A7">
        <w:tc>
          <w:tcPr>
            <w:tcW w:w="805" w:type="dxa"/>
          </w:tcPr>
          <w:p w14:paraId="2D6C0914" w14:textId="766C4C4B" w:rsidR="00A061F7" w:rsidRPr="004D0B79" w:rsidRDefault="00A061F7" w:rsidP="00A061F7">
            <w:pPr>
              <w:jc w:val="center"/>
              <w:rPr>
                <w:rFonts w:cs="Times New Roman"/>
                <w:sz w:val="20"/>
                <w:szCs w:val="20"/>
              </w:rPr>
            </w:pPr>
            <w:r w:rsidRPr="004D0B79">
              <w:rPr>
                <w:rFonts w:cs="Times New Roman"/>
                <w:sz w:val="20"/>
                <w:szCs w:val="20"/>
              </w:rPr>
              <w:t>5.2.</w:t>
            </w:r>
          </w:p>
        </w:tc>
        <w:tc>
          <w:tcPr>
            <w:tcW w:w="3726" w:type="dxa"/>
          </w:tcPr>
          <w:p w14:paraId="24A51A6F" w14:textId="12C39128" w:rsidR="00A061F7" w:rsidRPr="004D0B79" w:rsidRDefault="00A061F7" w:rsidP="00A061F7">
            <w:pPr>
              <w:rPr>
                <w:rFonts w:cs="Times New Roman"/>
                <w:sz w:val="20"/>
                <w:szCs w:val="20"/>
              </w:rPr>
            </w:pPr>
            <w:r w:rsidRPr="004D0B79">
              <w:rPr>
                <w:rFonts w:cs="Times New Roman"/>
                <w:sz w:val="20"/>
                <w:szCs w:val="20"/>
              </w:rPr>
              <w:t>Turėtų būti būdų, kaip pasyvesnius darbuotojus suaktyvinti moksliniams tyrimams. Galimi būdai tai padaryti yra bendradarbiavimas su kitais tyrėjais ar tyrimų grupėmis.</w:t>
            </w:r>
          </w:p>
        </w:tc>
        <w:tc>
          <w:tcPr>
            <w:tcW w:w="5245" w:type="dxa"/>
          </w:tcPr>
          <w:p w14:paraId="35847864" w14:textId="77777777" w:rsidR="00A061F7" w:rsidRPr="003C6AC9" w:rsidRDefault="00A061F7" w:rsidP="00A061F7">
            <w:pPr>
              <w:rPr>
                <w:rFonts w:cs="Times New Roman"/>
                <w:sz w:val="20"/>
                <w:szCs w:val="20"/>
              </w:rPr>
            </w:pPr>
            <w:r w:rsidRPr="003C6AC9">
              <w:rPr>
                <w:rFonts w:cs="Times New Roman"/>
                <w:sz w:val="20"/>
                <w:szCs w:val="20"/>
              </w:rPr>
              <w:t>Įgyvendinti mentorystės iniciatyvas, kuriose patyrę tyrėjai padėtų mažiau aktyviems dėstytojams įsitraukti į mokslinius tyrimus.</w:t>
            </w:r>
          </w:p>
          <w:p w14:paraId="6CF3E9D1" w14:textId="360B6195" w:rsidR="00A061F7" w:rsidRPr="004D0B79" w:rsidRDefault="00A061F7" w:rsidP="00A061F7">
            <w:pPr>
              <w:rPr>
                <w:rFonts w:cs="Times New Roman"/>
                <w:sz w:val="20"/>
                <w:szCs w:val="20"/>
              </w:rPr>
            </w:pPr>
            <w:r w:rsidRPr="003C6AC9">
              <w:rPr>
                <w:rFonts w:cs="Times New Roman"/>
                <w:sz w:val="20"/>
                <w:szCs w:val="20"/>
              </w:rPr>
              <w:t>Katedroje, fakultete rengti nuolatinius mokslinius seminarus, kuriuose būtų supažindinama su padalinyje vykdomais projektais, projektų kvietimais, siūlyti dėstytojams įsitraukti į jau vykdomų projektų veiklas.</w:t>
            </w:r>
          </w:p>
        </w:tc>
        <w:tc>
          <w:tcPr>
            <w:tcW w:w="1559" w:type="dxa"/>
          </w:tcPr>
          <w:p w14:paraId="645DDA6E" w14:textId="23F154FD" w:rsidR="00A061F7" w:rsidRPr="004D0B79" w:rsidRDefault="00A061F7" w:rsidP="00A061F7">
            <w:pPr>
              <w:rPr>
                <w:rFonts w:cs="Times New Roman"/>
                <w:sz w:val="20"/>
                <w:szCs w:val="20"/>
              </w:rPr>
            </w:pPr>
            <w:r w:rsidRPr="004D0B79">
              <w:rPr>
                <w:rFonts w:cs="Times New Roman"/>
                <w:sz w:val="20"/>
                <w:szCs w:val="20"/>
              </w:rPr>
              <w:t>2030-12</w:t>
            </w:r>
          </w:p>
        </w:tc>
        <w:tc>
          <w:tcPr>
            <w:tcW w:w="1350" w:type="dxa"/>
          </w:tcPr>
          <w:p w14:paraId="7F919030" w14:textId="34615A63" w:rsidR="00A061F7" w:rsidRPr="004D0B79" w:rsidRDefault="00A061F7" w:rsidP="00A061F7">
            <w:pPr>
              <w:rPr>
                <w:rFonts w:cs="Times New Roman"/>
                <w:sz w:val="20"/>
                <w:szCs w:val="20"/>
              </w:rPr>
            </w:pPr>
            <w:r>
              <w:rPr>
                <w:rFonts w:cs="Times New Roman"/>
                <w:sz w:val="20"/>
                <w:szCs w:val="20"/>
              </w:rPr>
              <w:t>K</w:t>
            </w:r>
            <w:r w:rsidRPr="004D0B79">
              <w:rPr>
                <w:rFonts w:cs="Times New Roman"/>
                <w:sz w:val="20"/>
                <w:szCs w:val="20"/>
              </w:rPr>
              <w:t>atedra, fakultetas</w:t>
            </w:r>
          </w:p>
        </w:tc>
        <w:tc>
          <w:tcPr>
            <w:tcW w:w="984" w:type="dxa"/>
          </w:tcPr>
          <w:p w14:paraId="0E5586AA" w14:textId="77777777" w:rsidR="00A061F7" w:rsidRPr="004D0B79" w:rsidRDefault="00A061F7" w:rsidP="00A061F7">
            <w:pPr>
              <w:jc w:val="center"/>
              <w:rPr>
                <w:rFonts w:cs="Times New Roman"/>
                <w:sz w:val="20"/>
                <w:szCs w:val="20"/>
              </w:rPr>
            </w:pPr>
          </w:p>
        </w:tc>
      </w:tr>
      <w:tr w:rsidR="00A061F7" w:rsidRPr="004D0B79" w14:paraId="4C4CECD3" w14:textId="77777777" w:rsidTr="000E74A7">
        <w:tc>
          <w:tcPr>
            <w:tcW w:w="805" w:type="dxa"/>
          </w:tcPr>
          <w:p w14:paraId="7DD95B45" w14:textId="2BC78D3A" w:rsidR="00A061F7" w:rsidRPr="004D0B79" w:rsidRDefault="00A061F7" w:rsidP="00F372A0">
            <w:pPr>
              <w:jc w:val="center"/>
              <w:rPr>
                <w:rFonts w:cs="Times New Roman"/>
                <w:sz w:val="20"/>
                <w:szCs w:val="20"/>
              </w:rPr>
            </w:pPr>
            <w:r w:rsidRPr="004D0B79">
              <w:rPr>
                <w:rFonts w:cs="Times New Roman"/>
                <w:sz w:val="20"/>
                <w:szCs w:val="20"/>
              </w:rPr>
              <w:t>6.</w:t>
            </w:r>
          </w:p>
        </w:tc>
        <w:tc>
          <w:tcPr>
            <w:tcW w:w="3726" w:type="dxa"/>
          </w:tcPr>
          <w:p w14:paraId="168F50FE" w14:textId="1D194B27" w:rsidR="00A061F7" w:rsidRPr="004D0B79" w:rsidRDefault="00A061F7" w:rsidP="00F372A0">
            <w:pPr>
              <w:rPr>
                <w:rFonts w:cs="Times New Roman"/>
                <w:b/>
                <w:sz w:val="20"/>
                <w:szCs w:val="20"/>
              </w:rPr>
            </w:pPr>
            <w:r w:rsidRPr="004D0B79">
              <w:rPr>
                <w:rFonts w:cs="Times New Roman"/>
                <w:b/>
                <w:sz w:val="20"/>
                <w:szCs w:val="20"/>
              </w:rPr>
              <w:t>Studijų materialieji ištekliai</w:t>
            </w:r>
          </w:p>
        </w:tc>
        <w:tc>
          <w:tcPr>
            <w:tcW w:w="5245" w:type="dxa"/>
          </w:tcPr>
          <w:p w14:paraId="1322DB8B" w14:textId="77777777" w:rsidR="00A061F7" w:rsidRPr="004D0B79" w:rsidRDefault="00A061F7" w:rsidP="00F372A0">
            <w:pPr>
              <w:jc w:val="center"/>
              <w:rPr>
                <w:rFonts w:cs="Times New Roman"/>
                <w:sz w:val="20"/>
                <w:szCs w:val="20"/>
              </w:rPr>
            </w:pPr>
          </w:p>
        </w:tc>
        <w:tc>
          <w:tcPr>
            <w:tcW w:w="1559" w:type="dxa"/>
          </w:tcPr>
          <w:p w14:paraId="3B4D30F9" w14:textId="13567615" w:rsidR="00A061F7" w:rsidRPr="004D0B79" w:rsidRDefault="00A061F7" w:rsidP="005B3E4E">
            <w:pPr>
              <w:rPr>
                <w:rFonts w:cs="Times New Roman"/>
                <w:sz w:val="20"/>
                <w:szCs w:val="20"/>
              </w:rPr>
            </w:pPr>
          </w:p>
        </w:tc>
        <w:tc>
          <w:tcPr>
            <w:tcW w:w="1350" w:type="dxa"/>
          </w:tcPr>
          <w:p w14:paraId="1B5C9341" w14:textId="77777777" w:rsidR="00A061F7" w:rsidRPr="004D0B79" w:rsidRDefault="00A061F7" w:rsidP="005B3E4E">
            <w:pPr>
              <w:rPr>
                <w:rFonts w:cs="Times New Roman"/>
                <w:sz w:val="20"/>
                <w:szCs w:val="20"/>
              </w:rPr>
            </w:pPr>
          </w:p>
        </w:tc>
        <w:tc>
          <w:tcPr>
            <w:tcW w:w="984" w:type="dxa"/>
          </w:tcPr>
          <w:p w14:paraId="4989F370" w14:textId="77777777" w:rsidR="00A061F7" w:rsidRPr="004D0B79" w:rsidRDefault="00A061F7" w:rsidP="00F372A0">
            <w:pPr>
              <w:jc w:val="center"/>
              <w:rPr>
                <w:rFonts w:cs="Times New Roman"/>
                <w:sz w:val="20"/>
                <w:szCs w:val="20"/>
              </w:rPr>
            </w:pPr>
          </w:p>
        </w:tc>
      </w:tr>
      <w:tr w:rsidR="00A061F7" w:rsidRPr="004D0B79" w14:paraId="51B10C14" w14:textId="77777777" w:rsidTr="000E74A7">
        <w:tc>
          <w:tcPr>
            <w:tcW w:w="805" w:type="dxa"/>
          </w:tcPr>
          <w:p w14:paraId="405FEBBF" w14:textId="1321D4AF" w:rsidR="00A061F7" w:rsidRPr="004D0B79" w:rsidRDefault="00A061F7" w:rsidP="00A061F7">
            <w:pPr>
              <w:jc w:val="center"/>
              <w:rPr>
                <w:rFonts w:cs="Times New Roman"/>
                <w:sz w:val="20"/>
                <w:szCs w:val="20"/>
              </w:rPr>
            </w:pPr>
            <w:r w:rsidRPr="004D0B79">
              <w:rPr>
                <w:rFonts w:cs="Times New Roman"/>
                <w:sz w:val="20"/>
                <w:szCs w:val="20"/>
              </w:rPr>
              <w:t>6.1.</w:t>
            </w:r>
          </w:p>
        </w:tc>
        <w:tc>
          <w:tcPr>
            <w:tcW w:w="3726" w:type="dxa"/>
          </w:tcPr>
          <w:p w14:paraId="3AE3DA53" w14:textId="515220D8" w:rsidR="00A061F7" w:rsidRPr="004D0B79" w:rsidRDefault="00A061F7" w:rsidP="00A061F7">
            <w:pPr>
              <w:rPr>
                <w:rFonts w:cs="Times New Roman"/>
                <w:sz w:val="20"/>
                <w:szCs w:val="20"/>
              </w:rPr>
            </w:pPr>
            <w:r w:rsidRPr="004D0B79">
              <w:rPr>
                <w:rFonts w:cs="Times New Roman"/>
                <w:sz w:val="20"/>
                <w:szCs w:val="20"/>
              </w:rPr>
              <w:t>Senoji miestelio infrastruktūra turėtų būti patobulinta, kad ji atitiktų naujojo miestelio infrastruktūrą.</w:t>
            </w:r>
          </w:p>
        </w:tc>
        <w:tc>
          <w:tcPr>
            <w:tcW w:w="5245" w:type="dxa"/>
          </w:tcPr>
          <w:p w14:paraId="523B771F" w14:textId="7AB43B32" w:rsidR="00A061F7" w:rsidRPr="004D0B79" w:rsidRDefault="00A061F7" w:rsidP="00A061F7">
            <w:pPr>
              <w:tabs>
                <w:tab w:val="center" w:pos="1370"/>
                <w:tab w:val="left" w:pos="2007"/>
              </w:tabs>
              <w:rPr>
                <w:rFonts w:cs="Times New Roman"/>
                <w:sz w:val="20"/>
                <w:szCs w:val="20"/>
              </w:rPr>
            </w:pPr>
            <w:r w:rsidRPr="003C6AC9">
              <w:rPr>
                <w:rFonts w:cs="Times New Roman"/>
                <w:sz w:val="20"/>
                <w:szCs w:val="20"/>
              </w:rPr>
              <w:t>2024-10 pradėti kapitalinis FMF patalpų ir infrastruktūros atnaujinimo darbai, kuriuos planuojama užbaigti iki 2027 metų</w:t>
            </w:r>
          </w:p>
        </w:tc>
        <w:tc>
          <w:tcPr>
            <w:tcW w:w="1559" w:type="dxa"/>
          </w:tcPr>
          <w:p w14:paraId="4E55B95A" w14:textId="59DB0387" w:rsidR="00A061F7" w:rsidRPr="004D0B79" w:rsidRDefault="00A061F7" w:rsidP="00A061F7">
            <w:pPr>
              <w:rPr>
                <w:rFonts w:cs="Times New Roman"/>
                <w:sz w:val="20"/>
                <w:szCs w:val="20"/>
              </w:rPr>
            </w:pPr>
            <w:r w:rsidRPr="000E74A7">
              <w:rPr>
                <w:rFonts w:cs="Times New Roman"/>
                <w:sz w:val="20"/>
                <w:szCs w:val="20"/>
              </w:rPr>
              <w:t>2027-01</w:t>
            </w:r>
          </w:p>
        </w:tc>
        <w:tc>
          <w:tcPr>
            <w:tcW w:w="1350" w:type="dxa"/>
          </w:tcPr>
          <w:p w14:paraId="49B48A69" w14:textId="47D4C93C" w:rsidR="00A061F7" w:rsidRPr="004D0B79" w:rsidRDefault="000E74A7" w:rsidP="00A061F7">
            <w:pPr>
              <w:rPr>
                <w:rFonts w:cs="Times New Roman"/>
                <w:sz w:val="20"/>
                <w:szCs w:val="20"/>
              </w:rPr>
            </w:pPr>
            <w:r>
              <w:rPr>
                <w:rFonts w:cs="Times New Roman"/>
                <w:sz w:val="20"/>
                <w:szCs w:val="20"/>
              </w:rPr>
              <w:t>F</w:t>
            </w:r>
            <w:r w:rsidR="00A061F7" w:rsidRPr="004D0B79">
              <w:rPr>
                <w:rFonts w:cs="Times New Roman"/>
                <w:sz w:val="20"/>
                <w:szCs w:val="20"/>
              </w:rPr>
              <w:t>akultetas, centrinė administracija</w:t>
            </w:r>
          </w:p>
        </w:tc>
        <w:tc>
          <w:tcPr>
            <w:tcW w:w="984" w:type="dxa"/>
          </w:tcPr>
          <w:p w14:paraId="2E2EBA62" w14:textId="2D357E86" w:rsidR="00A061F7" w:rsidRPr="004D0B79" w:rsidRDefault="00A061F7" w:rsidP="00A061F7">
            <w:pPr>
              <w:jc w:val="center"/>
              <w:rPr>
                <w:rFonts w:cs="Times New Roman"/>
                <w:sz w:val="20"/>
                <w:szCs w:val="20"/>
              </w:rPr>
            </w:pPr>
          </w:p>
        </w:tc>
      </w:tr>
      <w:tr w:rsidR="00A061F7" w:rsidRPr="004D0B79" w14:paraId="4ECCDC22" w14:textId="77777777" w:rsidTr="000E74A7">
        <w:tc>
          <w:tcPr>
            <w:tcW w:w="805" w:type="dxa"/>
          </w:tcPr>
          <w:p w14:paraId="1C9498EF" w14:textId="18B9F213" w:rsidR="00A061F7" w:rsidRPr="004D0B79" w:rsidRDefault="00A061F7" w:rsidP="00F372A0">
            <w:pPr>
              <w:jc w:val="center"/>
              <w:rPr>
                <w:rFonts w:cs="Times New Roman"/>
                <w:sz w:val="20"/>
                <w:szCs w:val="20"/>
              </w:rPr>
            </w:pPr>
            <w:r w:rsidRPr="004D0B79">
              <w:rPr>
                <w:rFonts w:cs="Times New Roman"/>
                <w:sz w:val="20"/>
                <w:szCs w:val="20"/>
              </w:rPr>
              <w:t>6.2.</w:t>
            </w:r>
          </w:p>
        </w:tc>
        <w:tc>
          <w:tcPr>
            <w:tcW w:w="3726" w:type="dxa"/>
          </w:tcPr>
          <w:p w14:paraId="0BBBD541" w14:textId="36E36477" w:rsidR="00A061F7" w:rsidRPr="004D0B79" w:rsidRDefault="00A061F7" w:rsidP="00F372A0">
            <w:pPr>
              <w:rPr>
                <w:rFonts w:cs="Times New Roman"/>
                <w:sz w:val="20"/>
                <w:szCs w:val="20"/>
              </w:rPr>
            </w:pPr>
            <w:r w:rsidRPr="004D0B79">
              <w:rPr>
                <w:rFonts w:cs="Times New Roman"/>
                <w:sz w:val="20"/>
                <w:szCs w:val="20"/>
              </w:rPr>
              <w:t>Turėtų būti galimybė visus kompiuterius įdiegti vieningai iš serverių.</w:t>
            </w:r>
          </w:p>
        </w:tc>
        <w:tc>
          <w:tcPr>
            <w:tcW w:w="5245" w:type="dxa"/>
          </w:tcPr>
          <w:p w14:paraId="3FF0DC94" w14:textId="41C82643" w:rsidR="00A061F7" w:rsidRPr="004D0B79" w:rsidRDefault="00A061F7" w:rsidP="00F372A0">
            <w:pPr>
              <w:rPr>
                <w:rFonts w:cs="Times New Roman"/>
                <w:sz w:val="20"/>
                <w:szCs w:val="20"/>
              </w:rPr>
            </w:pPr>
            <w:r w:rsidRPr="004D0B79">
              <w:rPr>
                <w:rFonts w:cs="Times New Roman"/>
                <w:sz w:val="20"/>
                <w:szCs w:val="20"/>
              </w:rPr>
              <w:t>Rekomenduoti fakultetui ir katedrai atnaujinti per senus automatiniam konfigūravimui kompiuterius.</w:t>
            </w:r>
          </w:p>
        </w:tc>
        <w:tc>
          <w:tcPr>
            <w:tcW w:w="1559" w:type="dxa"/>
          </w:tcPr>
          <w:p w14:paraId="164AFBED" w14:textId="5DB5A7F9" w:rsidR="00A061F7" w:rsidRPr="004D0B79" w:rsidRDefault="00A061F7" w:rsidP="005B3E4E">
            <w:pPr>
              <w:rPr>
                <w:rFonts w:cs="Times New Roman"/>
                <w:sz w:val="20"/>
                <w:szCs w:val="20"/>
              </w:rPr>
            </w:pPr>
            <w:r w:rsidRPr="004D0B79">
              <w:rPr>
                <w:rFonts w:cs="Times New Roman"/>
                <w:sz w:val="20"/>
                <w:szCs w:val="20"/>
              </w:rPr>
              <w:t>2026-12</w:t>
            </w:r>
          </w:p>
        </w:tc>
        <w:tc>
          <w:tcPr>
            <w:tcW w:w="1350" w:type="dxa"/>
          </w:tcPr>
          <w:p w14:paraId="55AF64A0" w14:textId="60B170FE" w:rsidR="00A061F7" w:rsidRPr="004D0B79" w:rsidRDefault="000E74A7" w:rsidP="005B3E4E">
            <w:pPr>
              <w:rPr>
                <w:rFonts w:cs="Times New Roman"/>
                <w:sz w:val="20"/>
                <w:szCs w:val="20"/>
              </w:rPr>
            </w:pPr>
            <w:r>
              <w:rPr>
                <w:rFonts w:cs="Times New Roman"/>
                <w:sz w:val="20"/>
                <w:szCs w:val="20"/>
              </w:rPr>
              <w:t>Fa</w:t>
            </w:r>
            <w:r w:rsidR="00A061F7" w:rsidRPr="004D0B79">
              <w:rPr>
                <w:rFonts w:cs="Times New Roman"/>
                <w:sz w:val="20"/>
                <w:szCs w:val="20"/>
              </w:rPr>
              <w:t>kultetas</w:t>
            </w:r>
          </w:p>
        </w:tc>
        <w:tc>
          <w:tcPr>
            <w:tcW w:w="984" w:type="dxa"/>
          </w:tcPr>
          <w:p w14:paraId="44B42A70" w14:textId="221B0BC7" w:rsidR="00A061F7" w:rsidRPr="004D0B79" w:rsidRDefault="00A061F7" w:rsidP="00F372A0">
            <w:pPr>
              <w:rPr>
                <w:rFonts w:cs="Times New Roman"/>
                <w:sz w:val="20"/>
                <w:szCs w:val="20"/>
              </w:rPr>
            </w:pPr>
          </w:p>
        </w:tc>
      </w:tr>
      <w:tr w:rsidR="00A061F7" w:rsidRPr="004D0B79" w14:paraId="5D4DFD00" w14:textId="77777777" w:rsidTr="000E74A7">
        <w:tc>
          <w:tcPr>
            <w:tcW w:w="805" w:type="dxa"/>
          </w:tcPr>
          <w:p w14:paraId="70F2F828" w14:textId="30917742" w:rsidR="00A061F7" w:rsidRPr="004D0B79" w:rsidRDefault="00A061F7" w:rsidP="00F372A0">
            <w:pPr>
              <w:jc w:val="center"/>
              <w:rPr>
                <w:rFonts w:cs="Times New Roman"/>
                <w:sz w:val="20"/>
                <w:szCs w:val="20"/>
              </w:rPr>
            </w:pPr>
            <w:r w:rsidRPr="004D0B79">
              <w:rPr>
                <w:rFonts w:cs="Times New Roman"/>
                <w:sz w:val="20"/>
                <w:szCs w:val="20"/>
              </w:rPr>
              <w:t>7.</w:t>
            </w:r>
          </w:p>
        </w:tc>
        <w:tc>
          <w:tcPr>
            <w:tcW w:w="3726" w:type="dxa"/>
          </w:tcPr>
          <w:p w14:paraId="3427135D" w14:textId="20DEE8AD" w:rsidR="00A061F7" w:rsidRPr="004D0B79" w:rsidRDefault="00A061F7" w:rsidP="00F372A0">
            <w:pPr>
              <w:rPr>
                <w:rFonts w:cs="Times New Roman"/>
                <w:b/>
                <w:sz w:val="20"/>
                <w:szCs w:val="20"/>
              </w:rPr>
            </w:pPr>
            <w:r w:rsidRPr="004D0B79">
              <w:rPr>
                <w:rFonts w:cs="Times New Roman"/>
                <w:b/>
                <w:sz w:val="20"/>
                <w:szCs w:val="20"/>
              </w:rPr>
              <w:t>Studijų kokybės valdymas ir viešinimas</w:t>
            </w:r>
          </w:p>
        </w:tc>
        <w:tc>
          <w:tcPr>
            <w:tcW w:w="5245" w:type="dxa"/>
          </w:tcPr>
          <w:p w14:paraId="5A1EA1F0" w14:textId="77777777" w:rsidR="00A061F7" w:rsidRPr="004D0B79" w:rsidRDefault="00A061F7" w:rsidP="00F372A0">
            <w:pPr>
              <w:jc w:val="center"/>
              <w:rPr>
                <w:rFonts w:cs="Times New Roman"/>
                <w:sz w:val="20"/>
                <w:szCs w:val="20"/>
              </w:rPr>
            </w:pPr>
          </w:p>
        </w:tc>
        <w:tc>
          <w:tcPr>
            <w:tcW w:w="1559" w:type="dxa"/>
          </w:tcPr>
          <w:p w14:paraId="64375525" w14:textId="3BD9A3D8" w:rsidR="00A061F7" w:rsidRPr="004D0B79" w:rsidRDefault="00A061F7" w:rsidP="005B3E4E">
            <w:pPr>
              <w:rPr>
                <w:rFonts w:cs="Times New Roman"/>
                <w:sz w:val="20"/>
                <w:szCs w:val="20"/>
              </w:rPr>
            </w:pPr>
          </w:p>
        </w:tc>
        <w:tc>
          <w:tcPr>
            <w:tcW w:w="1350" w:type="dxa"/>
          </w:tcPr>
          <w:p w14:paraId="39CA47EE" w14:textId="77777777" w:rsidR="00A061F7" w:rsidRPr="004D0B79" w:rsidRDefault="00A061F7" w:rsidP="005B3E4E">
            <w:pPr>
              <w:rPr>
                <w:rFonts w:cs="Times New Roman"/>
                <w:sz w:val="20"/>
                <w:szCs w:val="20"/>
              </w:rPr>
            </w:pPr>
          </w:p>
        </w:tc>
        <w:tc>
          <w:tcPr>
            <w:tcW w:w="984" w:type="dxa"/>
          </w:tcPr>
          <w:p w14:paraId="203646FC" w14:textId="77777777" w:rsidR="00A061F7" w:rsidRPr="004D0B79" w:rsidRDefault="00A061F7" w:rsidP="00F372A0">
            <w:pPr>
              <w:jc w:val="center"/>
              <w:rPr>
                <w:rFonts w:cs="Times New Roman"/>
                <w:sz w:val="20"/>
                <w:szCs w:val="20"/>
              </w:rPr>
            </w:pPr>
          </w:p>
        </w:tc>
      </w:tr>
      <w:tr w:rsidR="00A061F7" w:rsidRPr="004D0B79" w14:paraId="72B5D079" w14:textId="77777777" w:rsidTr="000E74A7">
        <w:trPr>
          <w:trHeight w:val="756"/>
        </w:trPr>
        <w:tc>
          <w:tcPr>
            <w:tcW w:w="805" w:type="dxa"/>
            <w:vMerge w:val="restart"/>
          </w:tcPr>
          <w:p w14:paraId="6AE1D370" w14:textId="12575B18" w:rsidR="00A061F7" w:rsidRPr="004D0B79" w:rsidRDefault="00A061F7" w:rsidP="00A061F7">
            <w:pPr>
              <w:jc w:val="center"/>
              <w:rPr>
                <w:rFonts w:cs="Times New Roman"/>
                <w:sz w:val="20"/>
                <w:szCs w:val="20"/>
              </w:rPr>
            </w:pPr>
            <w:r w:rsidRPr="004D0B79">
              <w:rPr>
                <w:rFonts w:cs="Times New Roman"/>
                <w:sz w:val="20"/>
                <w:szCs w:val="20"/>
              </w:rPr>
              <w:lastRenderedPageBreak/>
              <w:t>7.1.</w:t>
            </w:r>
          </w:p>
        </w:tc>
        <w:tc>
          <w:tcPr>
            <w:tcW w:w="3726" w:type="dxa"/>
            <w:vMerge w:val="restart"/>
          </w:tcPr>
          <w:p w14:paraId="747959EF" w14:textId="57BA2E43" w:rsidR="00A061F7" w:rsidRPr="004D0B79" w:rsidRDefault="00A061F7" w:rsidP="00A061F7">
            <w:pPr>
              <w:rPr>
                <w:rFonts w:cs="Times New Roman"/>
                <w:sz w:val="20"/>
                <w:szCs w:val="20"/>
              </w:rPr>
            </w:pPr>
            <w:r w:rsidRPr="004D0B79">
              <w:rPr>
                <w:rFonts w:cs="Times New Roman"/>
                <w:sz w:val="20"/>
                <w:szCs w:val="20"/>
              </w:rPr>
              <w:t>Socialiniai partneriai ne visada informuojami, kaip jų pasiūlymai įgyvendinami praktiškai. Todėl tikslinga juos aktyviau įtraukti į studijų programų atnaujinimą, pavyzdžiui, organizuojant diskusijas ir reguliarius oficialius susitikimus su SPK ir studijų programą vykdančiais padaliniais.</w:t>
            </w:r>
          </w:p>
        </w:tc>
        <w:tc>
          <w:tcPr>
            <w:tcW w:w="5245" w:type="dxa"/>
          </w:tcPr>
          <w:p w14:paraId="6BB89077" w14:textId="5371DA19" w:rsidR="00A061F7" w:rsidRPr="004D0B79" w:rsidRDefault="00A061F7" w:rsidP="00A061F7">
            <w:pPr>
              <w:rPr>
                <w:rFonts w:cs="Times New Roman"/>
                <w:sz w:val="20"/>
                <w:szCs w:val="20"/>
              </w:rPr>
            </w:pPr>
            <w:r w:rsidRPr="003C6AC9">
              <w:rPr>
                <w:rFonts w:cs="Times New Roman"/>
                <w:sz w:val="20"/>
                <w:szCs w:val="20"/>
              </w:rPr>
              <w:t>Rengti kasmetinius socialinių partnerių ir kompiuterijos programų administracijos, studentų ir dėstytojų susitikimus, galimo programų tobulinimo ir bendradarbiavimo kelių aptarimui.</w:t>
            </w:r>
          </w:p>
        </w:tc>
        <w:tc>
          <w:tcPr>
            <w:tcW w:w="1559" w:type="dxa"/>
          </w:tcPr>
          <w:p w14:paraId="672762E4" w14:textId="7997F529" w:rsidR="00A061F7" w:rsidRPr="004D0B79" w:rsidRDefault="00A061F7" w:rsidP="00A061F7">
            <w:pPr>
              <w:rPr>
                <w:rFonts w:cs="Times New Roman"/>
                <w:sz w:val="20"/>
                <w:szCs w:val="20"/>
              </w:rPr>
            </w:pPr>
            <w:r w:rsidRPr="004D0B79">
              <w:rPr>
                <w:rFonts w:cs="Times New Roman"/>
                <w:sz w:val="20"/>
                <w:szCs w:val="20"/>
              </w:rPr>
              <w:t>2025-07</w:t>
            </w:r>
          </w:p>
          <w:p w14:paraId="3530D431" w14:textId="4A058C7E" w:rsidR="00A061F7" w:rsidRPr="004D0B79" w:rsidRDefault="00A061F7" w:rsidP="00A061F7">
            <w:pPr>
              <w:rPr>
                <w:rFonts w:cs="Times New Roman"/>
                <w:sz w:val="20"/>
                <w:szCs w:val="20"/>
              </w:rPr>
            </w:pPr>
          </w:p>
        </w:tc>
        <w:tc>
          <w:tcPr>
            <w:tcW w:w="1350" w:type="dxa"/>
          </w:tcPr>
          <w:p w14:paraId="73FA6F73" w14:textId="5B0AD7CC" w:rsidR="00A061F7" w:rsidRPr="004D0B79" w:rsidRDefault="00A061F7" w:rsidP="00A061F7">
            <w:pPr>
              <w:rPr>
                <w:rFonts w:cs="Times New Roman"/>
                <w:sz w:val="20"/>
                <w:szCs w:val="20"/>
              </w:rPr>
            </w:pPr>
            <w:r w:rsidRPr="004D0B79">
              <w:rPr>
                <w:rFonts w:cs="Times New Roman"/>
                <w:sz w:val="20"/>
                <w:szCs w:val="20"/>
              </w:rPr>
              <w:t>SPK</w:t>
            </w:r>
            <w:r>
              <w:rPr>
                <w:rFonts w:cs="Times New Roman"/>
                <w:sz w:val="20"/>
                <w:szCs w:val="20"/>
              </w:rPr>
              <w:t>, fakultetai</w:t>
            </w:r>
          </w:p>
        </w:tc>
        <w:tc>
          <w:tcPr>
            <w:tcW w:w="984" w:type="dxa"/>
          </w:tcPr>
          <w:p w14:paraId="40C8CEE4" w14:textId="6258A7FD" w:rsidR="00A061F7" w:rsidRPr="004D0B79" w:rsidRDefault="00A061F7" w:rsidP="00A061F7">
            <w:pPr>
              <w:jc w:val="center"/>
              <w:rPr>
                <w:rFonts w:cs="Times New Roman"/>
                <w:sz w:val="20"/>
                <w:szCs w:val="20"/>
              </w:rPr>
            </w:pPr>
          </w:p>
        </w:tc>
      </w:tr>
      <w:tr w:rsidR="00A061F7" w:rsidRPr="004D0B79" w14:paraId="76791DCE" w14:textId="77777777" w:rsidTr="000E74A7">
        <w:trPr>
          <w:trHeight w:val="755"/>
        </w:trPr>
        <w:tc>
          <w:tcPr>
            <w:tcW w:w="805" w:type="dxa"/>
            <w:vMerge/>
          </w:tcPr>
          <w:p w14:paraId="42906739" w14:textId="77777777" w:rsidR="00A061F7" w:rsidRPr="004D0B79" w:rsidRDefault="00A061F7" w:rsidP="00A061F7">
            <w:pPr>
              <w:jc w:val="center"/>
              <w:rPr>
                <w:rFonts w:cs="Times New Roman"/>
                <w:sz w:val="20"/>
                <w:szCs w:val="20"/>
              </w:rPr>
            </w:pPr>
          </w:p>
        </w:tc>
        <w:tc>
          <w:tcPr>
            <w:tcW w:w="3726" w:type="dxa"/>
            <w:vMerge/>
          </w:tcPr>
          <w:p w14:paraId="38D4CB6D" w14:textId="77777777" w:rsidR="00A061F7" w:rsidRPr="004D0B79" w:rsidRDefault="00A061F7" w:rsidP="00A061F7">
            <w:pPr>
              <w:rPr>
                <w:rFonts w:cs="Times New Roman"/>
                <w:sz w:val="20"/>
                <w:szCs w:val="20"/>
              </w:rPr>
            </w:pPr>
          </w:p>
        </w:tc>
        <w:tc>
          <w:tcPr>
            <w:tcW w:w="5245" w:type="dxa"/>
          </w:tcPr>
          <w:p w14:paraId="1C0E4511" w14:textId="7F3D3107" w:rsidR="00A061F7" w:rsidRPr="004D0B79" w:rsidRDefault="00A061F7" w:rsidP="00A061F7">
            <w:pPr>
              <w:rPr>
                <w:rFonts w:cs="Times New Roman"/>
                <w:sz w:val="20"/>
                <w:szCs w:val="20"/>
              </w:rPr>
            </w:pPr>
            <w:r w:rsidRPr="003C6AC9">
              <w:rPr>
                <w:rFonts w:cs="Times New Roman"/>
                <w:sz w:val="20"/>
                <w:szCs w:val="20"/>
              </w:rPr>
              <w:t>Siūlyti sukurti viešai prieinamą „Socialinių partnerių pasiūlymų studijų programų tobulinimui sistemą“, kurioje būtų aiškiai matoma, kokie pasiūlymai buvo pateikti, kokie žingsniai atlikti jų įgyvendinimui ir kokie dar planuojami.</w:t>
            </w:r>
          </w:p>
        </w:tc>
        <w:tc>
          <w:tcPr>
            <w:tcW w:w="1559" w:type="dxa"/>
          </w:tcPr>
          <w:p w14:paraId="6A7C6B79" w14:textId="3ABC29F4" w:rsidR="00A061F7" w:rsidRPr="004D0B79" w:rsidRDefault="00A061F7" w:rsidP="00A061F7">
            <w:pPr>
              <w:rPr>
                <w:rFonts w:cs="Times New Roman"/>
                <w:sz w:val="20"/>
                <w:szCs w:val="20"/>
              </w:rPr>
            </w:pPr>
            <w:r w:rsidRPr="004D0B79">
              <w:rPr>
                <w:rFonts w:cs="Times New Roman"/>
                <w:sz w:val="20"/>
                <w:szCs w:val="20"/>
              </w:rPr>
              <w:t>2025-07</w:t>
            </w:r>
          </w:p>
        </w:tc>
        <w:tc>
          <w:tcPr>
            <w:tcW w:w="1350" w:type="dxa"/>
          </w:tcPr>
          <w:p w14:paraId="4233FA0B" w14:textId="1DD15665" w:rsidR="00A061F7" w:rsidRPr="004D0B79" w:rsidRDefault="00A061F7" w:rsidP="00A061F7">
            <w:pPr>
              <w:rPr>
                <w:rFonts w:cs="Times New Roman"/>
                <w:sz w:val="20"/>
                <w:szCs w:val="20"/>
              </w:rPr>
            </w:pPr>
            <w:r w:rsidRPr="004D0B79">
              <w:rPr>
                <w:rFonts w:cs="Times New Roman"/>
                <w:sz w:val="20"/>
                <w:szCs w:val="20"/>
              </w:rPr>
              <w:t>SPK, fakultetas</w:t>
            </w:r>
          </w:p>
        </w:tc>
        <w:tc>
          <w:tcPr>
            <w:tcW w:w="984" w:type="dxa"/>
          </w:tcPr>
          <w:p w14:paraId="568CE6A5" w14:textId="0D875681" w:rsidR="00A061F7" w:rsidRPr="004D0B79" w:rsidRDefault="00A061F7" w:rsidP="00A061F7">
            <w:pPr>
              <w:rPr>
                <w:rFonts w:cs="Times New Roman"/>
                <w:sz w:val="20"/>
                <w:szCs w:val="20"/>
              </w:rPr>
            </w:pPr>
          </w:p>
        </w:tc>
      </w:tr>
      <w:tr w:rsidR="00A061F7" w:rsidRPr="004D0B79" w14:paraId="3A5015E1" w14:textId="77777777" w:rsidTr="000E74A7">
        <w:tc>
          <w:tcPr>
            <w:tcW w:w="805" w:type="dxa"/>
          </w:tcPr>
          <w:p w14:paraId="514C20CE" w14:textId="2FF8D2C4" w:rsidR="00A061F7" w:rsidRPr="004D0B79" w:rsidRDefault="00A061F7" w:rsidP="00A061F7">
            <w:pPr>
              <w:jc w:val="center"/>
              <w:rPr>
                <w:rFonts w:cs="Times New Roman"/>
                <w:sz w:val="20"/>
                <w:szCs w:val="20"/>
              </w:rPr>
            </w:pPr>
            <w:r w:rsidRPr="004D0B79">
              <w:rPr>
                <w:rFonts w:cs="Times New Roman"/>
                <w:sz w:val="20"/>
                <w:szCs w:val="20"/>
              </w:rPr>
              <w:t>7.2.</w:t>
            </w:r>
          </w:p>
        </w:tc>
        <w:tc>
          <w:tcPr>
            <w:tcW w:w="3726" w:type="dxa"/>
          </w:tcPr>
          <w:p w14:paraId="70936EDA" w14:textId="2602E137" w:rsidR="00A061F7" w:rsidRPr="004D0B79" w:rsidRDefault="00A061F7" w:rsidP="00A061F7">
            <w:pPr>
              <w:rPr>
                <w:rFonts w:cs="Times New Roman"/>
                <w:sz w:val="20"/>
                <w:szCs w:val="20"/>
              </w:rPr>
            </w:pPr>
            <w:r w:rsidRPr="004D0B79">
              <w:rPr>
                <w:rFonts w:cs="Times New Roman"/>
                <w:sz w:val="20"/>
                <w:szCs w:val="20"/>
              </w:rPr>
              <w:t>Nors studentų apklausos atliekamos reguliariai, o dėstytojai  yra informuoti apie rezultatus apibendrinta forma, todėl juos sunku panaudoti priimant sprendimus. Taigi šis procesas turėtų būti geriau apibrėžtas, ypač probleminiais atvejais.</w:t>
            </w:r>
          </w:p>
        </w:tc>
        <w:tc>
          <w:tcPr>
            <w:tcW w:w="5245" w:type="dxa"/>
          </w:tcPr>
          <w:p w14:paraId="6310903D" w14:textId="0AF8F3EF" w:rsidR="00A061F7" w:rsidRPr="004D0B79" w:rsidRDefault="00A061F7" w:rsidP="00A061F7">
            <w:pPr>
              <w:rPr>
                <w:rFonts w:cs="Times New Roman"/>
                <w:sz w:val="20"/>
                <w:szCs w:val="20"/>
              </w:rPr>
            </w:pPr>
            <w:r w:rsidRPr="004D0B79">
              <w:rPr>
                <w:rFonts w:cs="Times New Roman"/>
                <w:sz w:val="20"/>
                <w:szCs w:val="20"/>
              </w:rPr>
              <w:t>Siūlyti sukurti išsamesnę studentų apklausų apie dėstymo kokybę analizės sistemą, kurioje būtų identifikuotos konkrečios stipriosios ir tobulintinos sritys. Probleminiais atvejais dėstytojams turėtų būti pateikiamas ne tik bendras vidurkis, bet ir detalizuoti komentarai bei pasiūlymai su rekomenduojamais veiksmais.</w:t>
            </w:r>
          </w:p>
        </w:tc>
        <w:tc>
          <w:tcPr>
            <w:tcW w:w="1559" w:type="dxa"/>
          </w:tcPr>
          <w:p w14:paraId="0D7A557F" w14:textId="6D68FA8A" w:rsidR="00A061F7" w:rsidRPr="004D0B79" w:rsidRDefault="00A061F7" w:rsidP="00A061F7">
            <w:pPr>
              <w:rPr>
                <w:rFonts w:cs="Times New Roman"/>
                <w:sz w:val="20"/>
                <w:szCs w:val="20"/>
              </w:rPr>
            </w:pPr>
            <w:r w:rsidRPr="004D0B79">
              <w:rPr>
                <w:rFonts w:cs="Times New Roman"/>
                <w:sz w:val="20"/>
                <w:szCs w:val="20"/>
              </w:rPr>
              <w:t>2027-12</w:t>
            </w:r>
          </w:p>
        </w:tc>
        <w:tc>
          <w:tcPr>
            <w:tcW w:w="1350" w:type="dxa"/>
          </w:tcPr>
          <w:p w14:paraId="292E9ABE" w14:textId="2DAE5A8D" w:rsidR="00A061F7" w:rsidRPr="004D0B79" w:rsidRDefault="00A061F7" w:rsidP="00A061F7">
            <w:pPr>
              <w:rPr>
                <w:rFonts w:cs="Times New Roman"/>
                <w:sz w:val="20"/>
                <w:szCs w:val="20"/>
              </w:rPr>
            </w:pPr>
            <w:r w:rsidRPr="004D0B79">
              <w:rPr>
                <w:rFonts w:cs="Times New Roman"/>
                <w:sz w:val="20"/>
                <w:szCs w:val="20"/>
              </w:rPr>
              <w:t>SPK, fakultetas, Studijų direkcija</w:t>
            </w:r>
          </w:p>
        </w:tc>
        <w:tc>
          <w:tcPr>
            <w:tcW w:w="984" w:type="dxa"/>
          </w:tcPr>
          <w:p w14:paraId="7BF327F0" w14:textId="77777777" w:rsidR="00A061F7" w:rsidRPr="004D0B79" w:rsidRDefault="00A061F7" w:rsidP="00A061F7">
            <w:pPr>
              <w:jc w:val="center"/>
              <w:rPr>
                <w:rFonts w:cs="Times New Roman"/>
                <w:sz w:val="20"/>
                <w:szCs w:val="20"/>
              </w:rPr>
            </w:pPr>
          </w:p>
        </w:tc>
      </w:tr>
      <w:tr w:rsidR="00A061F7" w:rsidRPr="004D0B79" w14:paraId="191EB8B3" w14:textId="77777777" w:rsidTr="000E74A7">
        <w:tc>
          <w:tcPr>
            <w:tcW w:w="805" w:type="dxa"/>
          </w:tcPr>
          <w:p w14:paraId="0D78C78C" w14:textId="06398FAA" w:rsidR="00A061F7" w:rsidRPr="004D0B79" w:rsidRDefault="00A061F7" w:rsidP="00A061F7">
            <w:pPr>
              <w:jc w:val="center"/>
              <w:rPr>
                <w:rFonts w:cs="Times New Roman"/>
                <w:sz w:val="20"/>
                <w:szCs w:val="20"/>
              </w:rPr>
            </w:pPr>
            <w:r w:rsidRPr="004D0B79">
              <w:rPr>
                <w:rFonts w:cs="Times New Roman"/>
                <w:sz w:val="20"/>
                <w:szCs w:val="20"/>
              </w:rPr>
              <w:t>7.3</w:t>
            </w:r>
          </w:p>
        </w:tc>
        <w:tc>
          <w:tcPr>
            <w:tcW w:w="3726" w:type="dxa"/>
          </w:tcPr>
          <w:p w14:paraId="6D8C04A6" w14:textId="6DDBB43C" w:rsidR="00A061F7" w:rsidRPr="004D0B79" w:rsidRDefault="00A061F7" w:rsidP="00A061F7">
            <w:pPr>
              <w:rPr>
                <w:rFonts w:cs="Times New Roman"/>
                <w:sz w:val="20"/>
                <w:szCs w:val="20"/>
              </w:rPr>
            </w:pPr>
            <w:r w:rsidRPr="004D0B79">
              <w:rPr>
                <w:rFonts w:cs="Times New Roman"/>
                <w:sz w:val="20"/>
                <w:szCs w:val="20"/>
              </w:rPr>
              <w:t>Reikėtų geriau stebėti studentų darbo krūvį atskiruose studijų dalykuose, pvz., kai kuriems programavimo dalykams (pavyzdžiui, Java projektams) skiriama per mažai kreditų.</w:t>
            </w:r>
          </w:p>
        </w:tc>
        <w:tc>
          <w:tcPr>
            <w:tcW w:w="5245" w:type="dxa"/>
          </w:tcPr>
          <w:p w14:paraId="1047844E" w14:textId="77777777" w:rsidR="00A061F7" w:rsidRPr="004D0B79" w:rsidRDefault="00A061F7" w:rsidP="00A061F7">
            <w:pPr>
              <w:rPr>
                <w:rFonts w:cs="Times New Roman"/>
                <w:sz w:val="20"/>
                <w:szCs w:val="20"/>
              </w:rPr>
            </w:pPr>
            <w:r w:rsidRPr="00A061F7">
              <w:rPr>
                <w:rFonts w:cs="Times New Roman"/>
                <w:sz w:val="20"/>
                <w:szCs w:val="20"/>
              </w:rPr>
              <w:t xml:space="preserve">Ištirti studentų nuomonę dėl studijuojamų dalykų darbo krūvio tolygumo. Remiantis </w:t>
            </w:r>
            <w:r>
              <w:rPr>
                <w:rFonts w:cs="Times New Roman"/>
                <w:sz w:val="20"/>
                <w:szCs w:val="20"/>
              </w:rPr>
              <w:t>tyrimo</w:t>
            </w:r>
            <w:r w:rsidRPr="00A061F7">
              <w:rPr>
                <w:rFonts w:cs="Times New Roman"/>
                <w:sz w:val="20"/>
                <w:szCs w:val="20"/>
              </w:rPr>
              <w:t xml:space="preserve"> rezultatais p</w:t>
            </w:r>
            <w:r w:rsidRPr="004D0B79">
              <w:rPr>
                <w:rFonts w:cs="Times New Roman"/>
                <w:sz w:val="20"/>
                <w:szCs w:val="20"/>
              </w:rPr>
              <w:t>eržiūrėti ir jeigu reikia pakoreguoti studijų dalykų, kuriuose numatyta didėlė dalis savarankiškam darbui, turinį ir studentų savarankiškų darbų apimtis.</w:t>
            </w:r>
          </w:p>
          <w:p w14:paraId="2F9B3663" w14:textId="720DA388" w:rsidR="00A061F7" w:rsidRPr="004D0B79" w:rsidRDefault="00A061F7" w:rsidP="00A061F7">
            <w:pPr>
              <w:rPr>
                <w:rFonts w:cs="Times New Roman"/>
                <w:sz w:val="20"/>
                <w:szCs w:val="20"/>
              </w:rPr>
            </w:pPr>
          </w:p>
        </w:tc>
        <w:tc>
          <w:tcPr>
            <w:tcW w:w="1559" w:type="dxa"/>
          </w:tcPr>
          <w:p w14:paraId="708244F6" w14:textId="617EF390" w:rsidR="00A061F7" w:rsidRPr="004D0B79" w:rsidRDefault="00A061F7" w:rsidP="00A061F7">
            <w:pPr>
              <w:rPr>
                <w:rFonts w:cs="Times New Roman"/>
                <w:sz w:val="20"/>
                <w:szCs w:val="20"/>
              </w:rPr>
            </w:pPr>
            <w:r w:rsidRPr="004D0B79">
              <w:rPr>
                <w:rFonts w:cs="Times New Roman"/>
                <w:sz w:val="20"/>
                <w:szCs w:val="20"/>
              </w:rPr>
              <w:t>2025-12</w:t>
            </w:r>
          </w:p>
        </w:tc>
        <w:tc>
          <w:tcPr>
            <w:tcW w:w="1350" w:type="dxa"/>
          </w:tcPr>
          <w:p w14:paraId="509C78C4" w14:textId="48913E2C" w:rsidR="00A061F7" w:rsidRPr="004D0B79" w:rsidRDefault="00A061F7" w:rsidP="00A061F7">
            <w:pPr>
              <w:rPr>
                <w:rFonts w:cs="Times New Roman"/>
                <w:sz w:val="20"/>
                <w:szCs w:val="20"/>
              </w:rPr>
            </w:pPr>
            <w:r w:rsidRPr="004D0B79">
              <w:rPr>
                <w:rFonts w:cs="Times New Roman"/>
                <w:sz w:val="20"/>
                <w:szCs w:val="20"/>
              </w:rPr>
              <w:t>SPK</w:t>
            </w:r>
          </w:p>
        </w:tc>
        <w:tc>
          <w:tcPr>
            <w:tcW w:w="984" w:type="dxa"/>
          </w:tcPr>
          <w:p w14:paraId="1DD1EA85" w14:textId="14D4A3EC" w:rsidR="00A061F7" w:rsidRPr="004D0B79" w:rsidRDefault="00A061F7" w:rsidP="00A061F7">
            <w:pPr>
              <w:jc w:val="center"/>
              <w:rPr>
                <w:rFonts w:cs="Times New Roman"/>
                <w:sz w:val="20"/>
                <w:szCs w:val="20"/>
              </w:rPr>
            </w:pPr>
          </w:p>
        </w:tc>
      </w:tr>
      <w:tr w:rsidR="00A061F7" w:rsidRPr="004D0B79" w14:paraId="6D5B9F93" w14:textId="77777777" w:rsidTr="000E74A7">
        <w:trPr>
          <w:trHeight w:val="678"/>
        </w:trPr>
        <w:tc>
          <w:tcPr>
            <w:tcW w:w="805" w:type="dxa"/>
            <w:vMerge w:val="restart"/>
          </w:tcPr>
          <w:p w14:paraId="1CC29FF0" w14:textId="4D7B730F" w:rsidR="00A061F7" w:rsidRPr="004D0B79" w:rsidRDefault="00A061F7" w:rsidP="00A061F7">
            <w:pPr>
              <w:jc w:val="center"/>
              <w:rPr>
                <w:rFonts w:cs="Times New Roman"/>
                <w:sz w:val="20"/>
                <w:szCs w:val="20"/>
              </w:rPr>
            </w:pPr>
            <w:r w:rsidRPr="004D0B79">
              <w:rPr>
                <w:rFonts w:cs="Times New Roman"/>
                <w:sz w:val="20"/>
                <w:szCs w:val="20"/>
              </w:rPr>
              <w:t>7.4.</w:t>
            </w:r>
          </w:p>
        </w:tc>
        <w:tc>
          <w:tcPr>
            <w:tcW w:w="3726" w:type="dxa"/>
            <w:vMerge w:val="restart"/>
          </w:tcPr>
          <w:p w14:paraId="717E8CE8" w14:textId="7F45B97F" w:rsidR="00A061F7" w:rsidRPr="004D0B79" w:rsidRDefault="00A061F7" w:rsidP="00A061F7">
            <w:pPr>
              <w:rPr>
                <w:rFonts w:cs="Times New Roman"/>
                <w:sz w:val="20"/>
                <w:szCs w:val="20"/>
              </w:rPr>
            </w:pPr>
            <w:r w:rsidRPr="004D0B79">
              <w:rPr>
                <w:rFonts w:cs="Times New Roman"/>
                <w:sz w:val="20"/>
                <w:szCs w:val="20"/>
              </w:rPr>
              <w:t xml:space="preserve">Per ekspertų susitikimą su darbdaviais pastarieji akcentavo būtinybę toliau tobulinti mokinių minkštuosius įgūdžius, tokius kaip bendravimo ir komandinio darbo įgūdžiai. Specialistai rekomenduoja atitinkamiems SPK ir katedroms skirti daugiau dėmesio tokių minkštųjų įgūdžių ugdymui, atnaujinant atitinkamų dalykų dėstymo metodus, vertinant studentų žinias ir įgūdžius. Taip pat siūloma suformuluoti </w:t>
            </w:r>
            <w:r w:rsidRPr="004D0B79">
              <w:rPr>
                <w:rFonts w:cs="Times New Roman"/>
                <w:sz w:val="20"/>
                <w:szCs w:val="20"/>
              </w:rPr>
              <w:lastRenderedPageBreak/>
              <w:t>aktualesnes baigiamųjų darbų temas, ypač tas, kurioms reikia naudoti šiuolaikinius DI metodus ir priemones.</w:t>
            </w:r>
          </w:p>
        </w:tc>
        <w:tc>
          <w:tcPr>
            <w:tcW w:w="5245" w:type="dxa"/>
          </w:tcPr>
          <w:p w14:paraId="72DEB658" w14:textId="40A5B565" w:rsidR="00A061F7" w:rsidRPr="004D0B79" w:rsidRDefault="00A061F7" w:rsidP="00A061F7">
            <w:pPr>
              <w:rPr>
                <w:rFonts w:cs="Times New Roman"/>
                <w:sz w:val="20"/>
                <w:szCs w:val="20"/>
              </w:rPr>
            </w:pPr>
            <w:r w:rsidRPr="003C6AC9">
              <w:rPr>
                <w:rFonts w:cs="Times New Roman"/>
                <w:sz w:val="20"/>
                <w:szCs w:val="20"/>
              </w:rPr>
              <w:lastRenderedPageBreak/>
              <w:t>Peržiūrėti studijų programų dalykus ir rekomenduoti atrinktų dalykų dėstytojams, kad minkštieji įgūdžiai (bendravimas, komandinio darbo gebėjimai, problemų sprendimas) būtų aktyviai ugdomi per praktinius užsiėmimus, projektines veiklas ir grupines užduotis.</w:t>
            </w:r>
          </w:p>
        </w:tc>
        <w:tc>
          <w:tcPr>
            <w:tcW w:w="1559" w:type="dxa"/>
          </w:tcPr>
          <w:p w14:paraId="37929A5C" w14:textId="4FF05C31" w:rsidR="00A061F7" w:rsidRPr="004D0B79" w:rsidRDefault="00A061F7" w:rsidP="00A061F7">
            <w:pPr>
              <w:rPr>
                <w:rFonts w:cs="Times New Roman"/>
                <w:sz w:val="20"/>
                <w:szCs w:val="20"/>
              </w:rPr>
            </w:pPr>
            <w:r w:rsidRPr="004D0B79">
              <w:rPr>
                <w:rFonts w:cs="Times New Roman"/>
                <w:sz w:val="20"/>
                <w:szCs w:val="20"/>
              </w:rPr>
              <w:t>2026-07</w:t>
            </w:r>
          </w:p>
        </w:tc>
        <w:tc>
          <w:tcPr>
            <w:tcW w:w="1350" w:type="dxa"/>
          </w:tcPr>
          <w:p w14:paraId="7B680A78" w14:textId="68511F16" w:rsidR="00A061F7" w:rsidRPr="004D0B79" w:rsidRDefault="00A061F7" w:rsidP="00A061F7">
            <w:pPr>
              <w:rPr>
                <w:rFonts w:cs="Times New Roman"/>
                <w:sz w:val="20"/>
                <w:szCs w:val="20"/>
              </w:rPr>
            </w:pPr>
            <w:r w:rsidRPr="004D0B79">
              <w:rPr>
                <w:rFonts w:cs="Times New Roman"/>
                <w:sz w:val="20"/>
                <w:szCs w:val="20"/>
              </w:rPr>
              <w:t>SPK</w:t>
            </w:r>
          </w:p>
        </w:tc>
        <w:tc>
          <w:tcPr>
            <w:tcW w:w="984" w:type="dxa"/>
          </w:tcPr>
          <w:p w14:paraId="5B30773F" w14:textId="414B28C6" w:rsidR="00A061F7" w:rsidRPr="004D0B79" w:rsidRDefault="00A061F7" w:rsidP="00A061F7">
            <w:pPr>
              <w:jc w:val="center"/>
              <w:rPr>
                <w:rFonts w:cs="Times New Roman"/>
                <w:sz w:val="20"/>
                <w:szCs w:val="20"/>
              </w:rPr>
            </w:pPr>
          </w:p>
        </w:tc>
      </w:tr>
      <w:tr w:rsidR="00A061F7" w:rsidRPr="004D0B79" w14:paraId="3912B432" w14:textId="77777777" w:rsidTr="000E74A7">
        <w:trPr>
          <w:trHeight w:val="676"/>
        </w:trPr>
        <w:tc>
          <w:tcPr>
            <w:tcW w:w="805" w:type="dxa"/>
            <w:vMerge/>
          </w:tcPr>
          <w:p w14:paraId="066DAF8E" w14:textId="77777777" w:rsidR="00A061F7" w:rsidRPr="004D0B79" w:rsidRDefault="00A061F7" w:rsidP="005B3E4E">
            <w:pPr>
              <w:jc w:val="center"/>
              <w:rPr>
                <w:rFonts w:cs="Times New Roman"/>
                <w:sz w:val="20"/>
                <w:szCs w:val="20"/>
              </w:rPr>
            </w:pPr>
          </w:p>
        </w:tc>
        <w:tc>
          <w:tcPr>
            <w:tcW w:w="3726" w:type="dxa"/>
            <w:vMerge/>
          </w:tcPr>
          <w:p w14:paraId="38F49B40" w14:textId="77777777" w:rsidR="00A061F7" w:rsidRPr="004D0B79" w:rsidRDefault="00A061F7" w:rsidP="005B3E4E">
            <w:pPr>
              <w:rPr>
                <w:rFonts w:cs="Times New Roman"/>
                <w:sz w:val="20"/>
                <w:szCs w:val="20"/>
              </w:rPr>
            </w:pPr>
          </w:p>
        </w:tc>
        <w:tc>
          <w:tcPr>
            <w:tcW w:w="5245" w:type="dxa"/>
          </w:tcPr>
          <w:p w14:paraId="3D9E6368" w14:textId="2A0E3187" w:rsidR="00A061F7" w:rsidRPr="004D0B79" w:rsidRDefault="00A061F7" w:rsidP="00675995">
            <w:pPr>
              <w:rPr>
                <w:rFonts w:cs="Times New Roman"/>
                <w:sz w:val="20"/>
                <w:szCs w:val="20"/>
              </w:rPr>
            </w:pPr>
            <w:r w:rsidRPr="004D0B79">
              <w:rPr>
                <w:rFonts w:cs="Times New Roman"/>
                <w:sz w:val="20"/>
                <w:szCs w:val="20"/>
              </w:rPr>
              <w:t>Rekomenduoti dėstytojams peržiūrėti dalyko vertinimo principus, kad ne tik techniniai įgūdžiai, bet ir bendravimo bei komandinio darbo gebėjimai būtų aiškiai įtraukti į dalyko vertinimo kriterijus.</w:t>
            </w:r>
          </w:p>
        </w:tc>
        <w:tc>
          <w:tcPr>
            <w:tcW w:w="1559" w:type="dxa"/>
          </w:tcPr>
          <w:p w14:paraId="554E0DFA" w14:textId="3129BF14" w:rsidR="00A061F7" w:rsidRPr="004D0B79" w:rsidRDefault="00A061F7" w:rsidP="00675995">
            <w:pPr>
              <w:rPr>
                <w:rFonts w:cs="Times New Roman"/>
                <w:sz w:val="20"/>
                <w:szCs w:val="20"/>
              </w:rPr>
            </w:pPr>
            <w:r w:rsidRPr="004D0B79">
              <w:rPr>
                <w:rFonts w:cs="Times New Roman"/>
                <w:sz w:val="20"/>
                <w:szCs w:val="20"/>
              </w:rPr>
              <w:t>2026-07</w:t>
            </w:r>
          </w:p>
        </w:tc>
        <w:tc>
          <w:tcPr>
            <w:tcW w:w="1350" w:type="dxa"/>
          </w:tcPr>
          <w:p w14:paraId="2E7B0A69" w14:textId="5A104832" w:rsidR="00A061F7" w:rsidRPr="004D0B79" w:rsidRDefault="00A061F7" w:rsidP="00675995">
            <w:pPr>
              <w:rPr>
                <w:rFonts w:cs="Times New Roman"/>
                <w:sz w:val="20"/>
                <w:szCs w:val="20"/>
              </w:rPr>
            </w:pPr>
            <w:r w:rsidRPr="004D0B79">
              <w:rPr>
                <w:rFonts w:cs="Times New Roman"/>
                <w:sz w:val="20"/>
                <w:szCs w:val="20"/>
              </w:rPr>
              <w:t>SPK, katedra</w:t>
            </w:r>
          </w:p>
        </w:tc>
        <w:tc>
          <w:tcPr>
            <w:tcW w:w="984" w:type="dxa"/>
          </w:tcPr>
          <w:p w14:paraId="1AF4B6BA" w14:textId="35DC9D09" w:rsidR="00A061F7" w:rsidRPr="004D0B79" w:rsidRDefault="00A061F7" w:rsidP="00675995">
            <w:pPr>
              <w:rPr>
                <w:rFonts w:cs="Times New Roman"/>
                <w:sz w:val="20"/>
                <w:szCs w:val="20"/>
              </w:rPr>
            </w:pPr>
          </w:p>
        </w:tc>
      </w:tr>
      <w:tr w:rsidR="00A061F7" w:rsidRPr="004D0B79" w14:paraId="1BB602FF" w14:textId="77777777" w:rsidTr="000E74A7">
        <w:trPr>
          <w:trHeight w:val="676"/>
        </w:trPr>
        <w:tc>
          <w:tcPr>
            <w:tcW w:w="805" w:type="dxa"/>
            <w:vMerge/>
          </w:tcPr>
          <w:p w14:paraId="1D97A59A" w14:textId="77777777" w:rsidR="00A061F7" w:rsidRPr="004D0B79" w:rsidRDefault="00A061F7" w:rsidP="009519B9">
            <w:pPr>
              <w:jc w:val="center"/>
              <w:rPr>
                <w:rFonts w:cs="Times New Roman"/>
                <w:sz w:val="20"/>
                <w:szCs w:val="20"/>
              </w:rPr>
            </w:pPr>
          </w:p>
        </w:tc>
        <w:tc>
          <w:tcPr>
            <w:tcW w:w="3726" w:type="dxa"/>
            <w:vMerge/>
          </w:tcPr>
          <w:p w14:paraId="5DB8CAB4" w14:textId="77777777" w:rsidR="00A061F7" w:rsidRPr="004D0B79" w:rsidRDefault="00A061F7" w:rsidP="009519B9">
            <w:pPr>
              <w:rPr>
                <w:rFonts w:cs="Times New Roman"/>
                <w:sz w:val="20"/>
                <w:szCs w:val="20"/>
              </w:rPr>
            </w:pPr>
          </w:p>
        </w:tc>
        <w:tc>
          <w:tcPr>
            <w:tcW w:w="5245" w:type="dxa"/>
          </w:tcPr>
          <w:p w14:paraId="5AFE0C94" w14:textId="0FF9717C" w:rsidR="00A061F7" w:rsidRPr="004D0B79" w:rsidRDefault="00A061F7" w:rsidP="009519B9">
            <w:pPr>
              <w:rPr>
                <w:rFonts w:cs="Times New Roman"/>
                <w:sz w:val="20"/>
                <w:szCs w:val="20"/>
              </w:rPr>
            </w:pPr>
            <w:r w:rsidRPr="004D0B79">
              <w:rPr>
                <w:rFonts w:cs="Times New Roman"/>
                <w:sz w:val="20"/>
                <w:szCs w:val="20"/>
              </w:rPr>
              <w:t xml:space="preserve">Kartu su darbdaviais ir socialiniais partneriais formuluoti aktualesnes baigiamųjų darbų temas, kurios skatintų studentus taikyti šiuolaikinius DI įrankius realioms pramonės, viešojo sektoriaus problemoms spręsti. </w:t>
            </w:r>
          </w:p>
        </w:tc>
        <w:tc>
          <w:tcPr>
            <w:tcW w:w="1559" w:type="dxa"/>
          </w:tcPr>
          <w:p w14:paraId="678A555A" w14:textId="6F2DB160" w:rsidR="00A061F7" w:rsidRPr="004D0B79" w:rsidRDefault="00A061F7" w:rsidP="009519B9">
            <w:pPr>
              <w:rPr>
                <w:rFonts w:cs="Times New Roman"/>
                <w:sz w:val="20"/>
                <w:szCs w:val="20"/>
              </w:rPr>
            </w:pPr>
            <w:r w:rsidRPr="004D0B79">
              <w:rPr>
                <w:rFonts w:cs="Times New Roman"/>
                <w:sz w:val="20"/>
                <w:szCs w:val="20"/>
              </w:rPr>
              <w:t>2025-12</w:t>
            </w:r>
          </w:p>
        </w:tc>
        <w:tc>
          <w:tcPr>
            <w:tcW w:w="1350" w:type="dxa"/>
          </w:tcPr>
          <w:p w14:paraId="40F94519" w14:textId="4AEF252F" w:rsidR="00A061F7" w:rsidRPr="004D0B79" w:rsidRDefault="00A061F7" w:rsidP="009519B9">
            <w:pPr>
              <w:rPr>
                <w:rFonts w:cs="Times New Roman"/>
                <w:sz w:val="20"/>
                <w:szCs w:val="20"/>
              </w:rPr>
            </w:pPr>
            <w:r w:rsidRPr="004D0B79">
              <w:rPr>
                <w:rFonts w:cs="Times New Roman"/>
                <w:sz w:val="20"/>
                <w:szCs w:val="20"/>
              </w:rPr>
              <w:t>SPK, katedra</w:t>
            </w:r>
          </w:p>
        </w:tc>
        <w:tc>
          <w:tcPr>
            <w:tcW w:w="984" w:type="dxa"/>
          </w:tcPr>
          <w:p w14:paraId="1545395B" w14:textId="28C9E4DA" w:rsidR="00A061F7" w:rsidRPr="004D0B79" w:rsidRDefault="00A061F7" w:rsidP="009519B9">
            <w:pPr>
              <w:rPr>
                <w:rFonts w:cs="Times New Roman"/>
                <w:sz w:val="20"/>
                <w:szCs w:val="20"/>
              </w:rPr>
            </w:pPr>
          </w:p>
        </w:tc>
      </w:tr>
    </w:tbl>
    <w:p w14:paraId="3F398E81" w14:textId="77777777" w:rsidR="009A18F2" w:rsidRPr="004D0B79" w:rsidRDefault="009A18F2" w:rsidP="009A18F2">
      <w:pPr>
        <w:spacing w:after="0" w:line="240" w:lineRule="auto"/>
        <w:jc w:val="center"/>
        <w:rPr>
          <w:rFonts w:cs="Times New Roman"/>
          <w:sz w:val="20"/>
          <w:szCs w:val="20"/>
        </w:rPr>
      </w:pPr>
    </w:p>
    <w:p w14:paraId="1E1CC022" w14:textId="77777777" w:rsidR="009A18F2" w:rsidRPr="004D0B79" w:rsidRDefault="009A18F2" w:rsidP="009A18F2">
      <w:pPr>
        <w:spacing w:after="0" w:line="240" w:lineRule="auto"/>
        <w:rPr>
          <w:rFonts w:cs="Times New Roman"/>
          <w:sz w:val="20"/>
          <w:szCs w:val="20"/>
        </w:rPr>
      </w:pPr>
    </w:p>
    <w:p w14:paraId="2F4036E0" w14:textId="77777777" w:rsidR="00643E32" w:rsidRPr="004D0B79" w:rsidRDefault="00643E32">
      <w:pPr>
        <w:rPr>
          <w:rFonts w:cs="Times New Roman"/>
          <w:sz w:val="20"/>
          <w:szCs w:val="20"/>
        </w:rPr>
      </w:pPr>
    </w:p>
    <w:sectPr w:rsidR="00643E32" w:rsidRPr="004D0B79" w:rsidSect="00AA05C4">
      <w:pgSz w:w="16840" w:h="1190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F2"/>
    <w:rsid w:val="00037C37"/>
    <w:rsid w:val="00083AF1"/>
    <w:rsid w:val="000B0E62"/>
    <w:rsid w:val="000E74A7"/>
    <w:rsid w:val="001B5961"/>
    <w:rsid w:val="00262235"/>
    <w:rsid w:val="00290690"/>
    <w:rsid w:val="00391501"/>
    <w:rsid w:val="003C6AC9"/>
    <w:rsid w:val="00455243"/>
    <w:rsid w:val="004C3C99"/>
    <w:rsid w:val="004D0B79"/>
    <w:rsid w:val="004D32CE"/>
    <w:rsid w:val="004D3840"/>
    <w:rsid w:val="0050021F"/>
    <w:rsid w:val="00532701"/>
    <w:rsid w:val="00534FB7"/>
    <w:rsid w:val="005B3E4E"/>
    <w:rsid w:val="00643E32"/>
    <w:rsid w:val="00675995"/>
    <w:rsid w:val="0067660C"/>
    <w:rsid w:val="006A3E29"/>
    <w:rsid w:val="008E3CCB"/>
    <w:rsid w:val="00936D7F"/>
    <w:rsid w:val="009519B9"/>
    <w:rsid w:val="009A18F2"/>
    <w:rsid w:val="00A061F7"/>
    <w:rsid w:val="00A673F3"/>
    <w:rsid w:val="00A83802"/>
    <w:rsid w:val="00AA05C4"/>
    <w:rsid w:val="00AF01E0"/>
    <w:rsid w:val="00C57B97"/>
    <w:rsid w:val="00C8697B"/>
    <w:rsid w:val="00D5578C"/>
    <w:rsid w:val="00D65EC7"/>
    <w:rsid w:val="00DA4387"/>
    <w:rsid w:val="00DD19FC"/>
    <w:rsid w:val="00E139F7"/>
    <w:rsid w:val="00E4205C"/>
    <w:rsid w:val="00E4584E"/>
    <w:rsid w:val="00E57E8A"/>
    <w:rsid w:val="00E957E5"/>
    <w:rsid w:val="00EB0970"/>
    <w:rsid w:val="00F372A0"/>
    <w:rsid w:val="00F74CF1"/>
    <w:rsid w:val="00FE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74D5B"/>
  <w15:chartTrackingRefBased/>
  <w15:docId w15:val="{3BCC35CE-12A4-3340-8730-5AF427F5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18F2"/>
    <w:pPr>
      <w:spacing w:after="160" w:line="259" w:lineRule="auto"/>
    </w:pPr>
    <w:rPr>
      <w:rFonts w:ascii="Times New Roman" w:hAnsi="Times New Roman"/>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8F2"/>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9FC"/>
    <w:rPr>
      <w:sz w:val="16"/>
      <w:szCs w:val="16"/>
    </w:rPr>
  </w:style>
  <w:style w:type="paragraph" w:styleId="CommentText">
    <w:name w:val="annotation text"/>
    <w:basedOn w:val="Normal"/>
    <w:link w:val="CommentTextChar"/>
    <w:uiPriority w:val="99"/>
    <w:semiHidden/>
    <w:unhideWhenUsed/>
    <w:rsid w:val="00DD19FC"/>
    <w:pPr>
      <w:spacing w:line="240" w:lineRule="auto"/>
    </w:pPr>
    <w:rPr>
      <w:sz w:val="20"/>
      <w:szCs w:val="20"/>
    </w:rPr>
  </w:style>
  <w:style w:type="character" w:customStyle="1" w:styleId="CommentTextChar">
    <w:name w:val="Comment Text Char"/>
    <w:basedOn w:val="DefaultParagraphFont"/>
    <w:link w:val="CommentText"/>
    <w:uiPriority w:val="99"/>
    <w:semiHidden/>
    <w:rsid w:val="00DD19FC"/>
    <w:rPr>
      <w:rFonts w:ascii="Times New Roman" w:hAnsi="Times New Roman"/>
      <w:sz w:val="20"/>
      <w:szCs w:val="20"/>
      <w:lang w:val="lt-LT"/>
    </w:rPr>
  </w:style>
  <w:style w:type="paragraph" w:styleId="CommentSubject">
    <w:name w:val="annotation subject"/>
    <w:basedOn w:val="CommentText"/>
    <w:next w:val="CommentText"/>
    <w:link w:val="CommentSubjectChar"/>
    <w:uiPriority w:val="99"/>
    <w:semiHidden/>
    <w:unhideWhenUsed/>
    <w:rsid w:val="00DD19FC"/>
    <w:rPr>
      <w:b/>
      <w:bCs/>
    </w:rPr>
  </w:style>
  <w:style w:type="character" w:customStyle="1" w:styleId="CommentSubjectChar">
    <w:name w:val="Comment Subject Char"/>
    <w:basedOn w:val="CommentTextChar"/>
    <w:link w:val="CommentSubject"/>
    <w:uiPriority w:val="99"/>
    <w:semiHidden/>
    <w:rsid w:val="00DD19FC"/>
    <w:rPr>
      <w:rFonts w:ascii="Times New Roman" w:hAnsi="Times New Roman"/>
      <w:b/>
      <w:bCs/>
      <w:sz w:val="20"/>
      <w:szCs w:val="20"/>
      <w:lang w:val="lt-LT"/>
    </w:rPr>
  </w:style>
  <w:style w:type="paragraph" w:styleId="Revision">
    <w:name w:val="Revision"/>
    <w:hidden/>
    <w:uiPriority w:val="99"/>
    <w:semiHidden/>
    <w:rsid w:val="00A061F7"/>
    <w:rPr>
      <w:rFonts w:ascii="Times New Roman" w:hAnsi="Times New Roman"/>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23461">
      <w:bodyDiv w:val="1"/>
      <w:marLeft w:val="0"/>
      <w:marRight w:val="0"/>
      <w:marTop w:val="0"/>
      <w:marBottom w:val="0"/>
      <w:divBdr>
        <w:top w:val="none" w:sz="0" w:space="0" w:color="auto"/>
        <w:left w:val="none" w:sz="0" w:space="0" w:color="auto"/>
        <w:bottom w:val="none" w:sz="0" w:space="0" w:color="auto"/>
        <w:right w:val="none" w:sz="0" w:space="0" w:color="auto"/>
      </w:divBdr>
      <w:divsChild>
        <w:div w:id="1088960875">
          <w:marLeft w:val="0"/>
          <w:marRight w:val="0"/>
          <w:marTop w:val="0"/>
          <w:marBottom w:val="0"/>
          <w:divBdr>
            <w:top w:val="none" w:sz="0" w:space="0" w:color="auto"/>
            <w:left w:val="none" w:sz="0" w:space="0" w:color="auto"/>
            <w:bottom w:val="none" w:sz="0" w:space="0" w:color="auto"/>
            <w:right w:val="none" w:sz="0" w:space="0" w:color="auto"/>
          </w:divBdr>
          <w:divsChild>
            <w:div w:id="261035962">
              <w:marLeft w:val="0"/>
              <w:marRight w:val="0"/>
              <w:marTop w:val="0"/>
              <w:marBottom w:val="0"/>
              <w:divBdr>
                <w:top w:val="none" w:sz="0" w:space="0" w:color="auto"/>
                <w:left w:val="none" w:sz="0" w:space="0" w:color="auto"/>
                <w:bottom w:val="none" w:sz="0" w:space="0" w:color="auto"/>
                <w:right w:val="none" w:sz="0" w:space="0" w:color="auto"/>
              </w:divBdr>
              <w:divsChild>
                <w:div w:id="15432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7883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Giedrutė Mikaločienė</cp:lastModifiedBy>
  <cp:revision>2</cp:revision>
  <cp:lastPrinted>2025-04-07T07:59:00Z</cp:lastPrinted>
  <dcterms:created xsi:type="dcterms:W3CDTF">2025-04-11T07:34:00Z</dcterms:created>
  <dcterms:modified xsi:type="dcterms:W3CDTF">2025-04-11T07:34:00Z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2ee4b88ca246162418394c12251738afc8788613c48350ae404617653103a3c8</vt:lpwstr>
  </property>
</Properties>
</file>